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EEB25" w14:textId="77777777" w:rsidR="00680511" w:rsidRPr="00680511" w:rsidRDefault="00680511" w:rsidP="00680511">
      <w:r w:rsidRPr="00680511">
        <w:t xml:space="preserve">Bezetting, verzet en collaboratie: een historisch essay over het gedrag van communisten en </w:t>
      </w:r>
      <w:proofErr w:type="spellStart"/>
      <w:r w:rsidRPr="00680511">
        <w:t>Tagmatasfalites</w:t>
      </w:r>
      <w:proofErr w:type="spellEnd"/>
      <w:r w:rsidRPr="00680511">
        <w:t xml:space="preserve"> (1941-1944)</w:t>
      </w:r>
    </w:p>
    <w:p w14:paraId="2B5FD418" w14:textId="77777777" w:rsidR="00680511" w:rsidRPr="00680511" w:rsidRDefault="00680511" w:rsidP="00680511">
      <w:r w:rsidRPr="00680511">
        <w:t xml:space="preserve">De bezettingsperiode in Griekenland was niet alleen een conflict tussen bezetters en bezette bevolking. Er was tegelijkertijd een interne breuk over de vraag welke vorm van politiek optreden, welke moraal en welke toekomst de overhand zou krijgen. In het middelpunt van deze breuk stonden enerzijds de communistische beweging, die het verzetsfront vormde, en anderzijds de collaborerende groeperingen, met als hoogtepunt de </w:t>
      </w:r>
      <w:proofErr w:type="spellStart"/>
      <w:r w:rsidRPr="00680511">
        <w:t>Tagmata</w:t>
      </w:r>
      <w:proofErr w:type="spellEnd"/>
      <w:r w:rsidRPr="00680511">
        <w:t xml:space="preserve"> </w:t>
      </w:r>
      <w:proofErr w:type="spellStart"/>
      <w:r w:rsidRPr="00680511">
        <w:t>Asfaliti</w:t>
      </w:r>
      <w:proofErr w:type="spellEnd"/>
      <w:r w:rsidRPr="00680511">
        <w:t>.</w:t>
      </w:r>
    </w:p>
    <w:p w14:paraId="1658548B" w14:textId="77777777" w:rsidR="00680511" w:rsidRPr="00680511" w:rsidRDefault="00680511" w:rsidP="00680511">
      <w:r w:rsidRPr="00680511">
        <w:t>De vorming van de verzetshegemonie</w:t>
      </w:r>
    </w:p>
    <w:p w14:paraId="55B01856" w14:textId="77777777" w:rsidR="00680511" w:rsidRPr="00680511" w:rsidRDefault="00680511" w:rsidP="00680511">
      <w:r w:rsidRPr="00680511">
        <w:t>Na de ineenstorting van de staat in 1941 werd het politieke vacuüm grotendeels opgevuld door het Nationaal Bevrijdingsfront (EAM). De organisatie beperkte zich niet tot gewapende actie, ze vormde netwerken voor overleving, volksbestuur en politieke vorming. In de "vrije gebieden" werden vormen van volksjustitie en participatief bestuur uitgeprobeerd, waarbij de nationale bevrijding werd gekoppeld aan een visie van sociale transformatie.</w:t>
      </w:r>
    </w:p>
    <w:p w14:paraId="5FA26BCA" w14:textId="77777777" w:rsidR="00680511" w:rsidRPr="00680511" w:rsidRDefault="00680511" w:rsidP="00680511">
      <w:r w:rsidRPr="00680511">
        <w:t>De militaire tak van de EAM, het Griekse Volksbevrijdingsleger (ELAS), ontwikkelde een uitgebreid guerrillanetwerk in de bergen. Het geweld dat het gebruikte paste in de logica van het verzet tegen de bezettingsmachten, maar ook in het waarborgen van politieke controle in de gebieden waar het invloed had. De geschiedschrijving heeft zowel de massaliteit en het organisatorisch vermogen ervan vastgelegd als de interne conflicten met andere verzetsorganisaties, een fenomeen dat gebruikelijk is in burgeroorlogssituaties.</w:t>
      </w:r>
    </w:p>
    <w:p w14:paraId="750E0856" w14:textId="77777777" w:rsidR="00680511" w:rsidRPr="00680511" w:rsidRDefault="00680511" w:rsidP="00680511">
      <w:r w:rsidRPr="00680511">
        <w:t>Het gedrag van de communisten in die periode werd gekenmerkt door:</w:t>
      </w:r>
    </w:p>
    <w:p w14:paraId="3662B0EC" w14:textId="77777777" w:rsidR="00680511" w:rsidRPr="00680511" w:rsidRDefault="00680511" w:rsidP="00680511">
      <w:r w:rsidRPr="00680511">
        <w:t>* organisatorische discipline en collectiviteit,</w:t>
      </w:r>
    </w:p>
    <w:p w14:paraId="032A13F2" w14:textId="77777777" w:rsidR="00680511" w:rsidRPr="00680511" w:rsidRDefault="00680511" w:rsidP="00680511">
      <w:r w:rsidRPr="00680511">
        <w:t>* politisering van het dagelijks leven,</w:t>
      </w:r>
    </w:p>
    <w:p w14:paraId="004BE5F6" w14:textId="77777777" w:rsidR="00680511" w:rsidRPr="00680511" w:rsidRDefault="00680511" w:rsidP="00680511">
      <w:r w:rsidRPr="00680511">
        <w:t>* koppeling van nationale en sociale kwesties,</w:t>
      </w:r>
    </w:p>
    <w:p w14:paraId="7AC1C6F0" w14:textId="77777777" w:rsidR="00680511" w:rsidRPr="00680511" w:rsidRDefault="00680511" w:rsidP="00680511">
      <w:r w:rsidRPr="00680511">
        <w:t>* aanvaarding van gewapend geweld als noodzakelijk middel in omstandigheden van bezetting.</w:t>
      </w:r>
    </w:p>
    <w:p w14:paraId="76F9DB57" w14:textId="77777777" w:rsidR="00680511" w:rsidRPr="00680511" w:rsidRDefault="00680511" w:rsidP="00680511">
      <w:r w:rsidRPr="00680511">
        <w:t>De totstandkoming van de samenwerking en het anticommunisme</w:t>
      </w:r>
    </w:p>
    <w:p w14:paraId="6A6099DB" w14:textId="77777777" w:rsidR="00680511" w:rsidRPr="00680511" w:rsidRDefault="00680511" w:rsidP="00680511">
      <w:r w:rsidRPr="00680511">
        <w:t xml:space="preserve">In 1943 werden de Veiligheidstroepen opgericht, op initiatief van de bezettingsregering van </w:t>
      </w:r>
      <w:proofErr w:type="spellStart"/>
      <w:r w:rsidRPr="00680511">
        <w:t>Rallis</w:t>
      </w:r>
      <w:proofErr w:type="spellEnd"/>
      <w:r w:rsidRPr="00680511">
        <w:t xml:space="preserve"> en onder Duitse auspiciën. Hun verklaarde doel was het "herstellen van de orde" en het bestrijden van de EAM-ELAS. In de praktijk vormden ze een mechanisme voor gewapende samenwerking met de bezettingsmachten.</w:t>
      </w:r>
    </w:p>
    <w:p w14:paraId="16FB4D23" w14:textId="77777777" w:rsidR="00680511" w:rsidRPr="00680511" w:rsidRDefault="00680511" w:rsidP="00680511">
      <w:r w:rsidRPr="00680511">
        <w:t xml:space="preserve">Het optreden van de </w:t>
      </w:r>
      <w:proofErr w:type="spellStart"/>
      <w:r w:rsidRPr="00680511">
        <w:t>Tağmatasfalites</w:t>
      </w:r>
      <w:proofErr w:type="spellEnd"/>
      <w:r w:rsidRPr="00680511">
        <w:t xml:space="preserve"> omvatte:</w:t>
      </w:r>
    </w:p>
    <w:p w14:paraId="41CB04BE" w14:textId="77777777" w:rsidR="00680511" w:rsidRPr="00680511" w:rsidRDefault="00680511" w:rsidP="00680511">
      <w:r w:rsidRPr="00680511">
        <w:t>* deelname aan zuiveringsoperaties tegen rebellen,</w:t>
      </w:r>
    </w:p>
    <w:p w14:paraId="2481BC60" w14:textId="77777777" w:rsidR="00680511" w:rsidRPr="00680511" w:rsidRDefault="00680511" w:rsidP="00680511">
      <w:r w:rsidRPr="00680511">
        <w:t>* betrokkenheid bij wegversperringen en arrestaties,</w:t>
      </w:r>
    </w:p>
    <w:p w14:paraId="20247011" w14:textId="77777777" w:rsidR="00680511" w:rsidRPr="00680511" w:rsidRDefault="00680511" w:rsidP="00680511">
      <w:r w:rsidRPr="00680511">
        <w:t>* anticommunistische retoriek als ideologische legitimatie,</w:t>
      </w:r>
    </w:p>
    <w:p w14:paraId="30EBF0B4" w14:textId="77777777" w:rsidR="00680511" w:rsidRPr="00680511" w:rsidRDefault="00680511" w:rsidP="00680511">
      <w:r w:rsidRPr="00680511">
        <w:t>* het gelijkstellen van "nationale redding" met het voorkomen van communistische overheersing.</w:t>
      </w:r>
    </w:p>
    <w:p w14:paraId="667DE987" w14:textId="77777777" w:rsidR="00680511" w:rsidRPr="00680511" w:rsidRDefault="00680511" w:rsidP="00680511">
      <w:r w:rsidRPr="00680511">
        <w:t xml:space="preserve">In tegenstelling tot de EAM-beweging vormden de </w:t>
      </w:r>
      <w:proofErr w:type="spellStart"/>
      <w:r w:rsidRPr="00680511">
        <w:t>Tagamata</w:t>
      </w:r>
      <w:proofErr w:type="spellEnd"/>
      <w:r w:rsidRPr="00680511">
        <w:t xml:space="preserve"> </w:t>
      </w:r>
      <w:proofErr w:type="spellStart"/>
      <w:r w:rsidRPr="00680511">
        <w:t>Asfalita</w:t>
      </w:r>
      <w:proofErr w:type="spellEnd"/>
      <w:r w:rsidRPr="00680511">
        <w:t xml:space="preserve"> geen alternatieve sociale visie. Hun optreden was in de eerste plaats repressief en defensief tegen het gevaar van sociale omwenteling.</w:t>
      </w:r>
    </w:p>
    <w:p w14:paraId="0774CC78" w14:textId="77777777" w:rsidR="00680511" w:rsidRPr="00680511" w:rsidRDefault="00680511" w:rsidP="00680511">
      <w:r w:rsidRPr="00680511">
        <w:t>Twee modellen van politiek gedrag</w:t>
      </w:r>
    </w:p>
    <w:p w14:paraId="26D4C4B4" w14:textId="77777777" w:rsidR="00680511" w:rsidRPr="00680511" w:rsidRDefault="00680511" w:rsidP="00680511">
      <w:r w:rsidRPr="00680511">
        <w:t>De confrontatie was niet alleen militair van aard. Het was een botsing tussen twee verschillende denkwijzen:</w:t>
      </w:r>
    </w:p>
    <w:p w14:paraId="4B8AEE34" w14:textId="77777777" w:rsidR="00680511" w:rsidRPr="00680511" w:rsidRDefault="00680511" w:rsidP="00680511">
      <w:r w:rsidRPr="00680511">
        <w:lastRenderedPageBreak/>
        <w:t>1. **De logica van volksmobilisatie* *</w:t>
      </w:r>
    </w:p>
    <w:p w14:paraId="2BE11F4D" w14:textId="77777777" w:rsidR="00680511" w:rsidRPr="00680511" w:rsidRDefault="00680511" w:rsidP="00680511">
      <w:r w:rsidRPr="00680511">
        <w:t>* Massale deelname.</w:t>
      </w:r>
    </w:p>
    <w:p w14:paraId="767AA1B7" w14:textId="77777777" w:rsidR="00680511" w:rsidRPr="00680511" w:rsidRDefault="00680511" w:rsidP="00680511">
      <w:r w:rsidRPr="00680511">
        <w:t>* Ideologische mobilisatie.</w:t>
      </w:r>
    </w:p>
    <w:p w14:paraId="599AD407" w14:textId="77777777" w:rsidR="00680511" w:rsidRPr="00680511" w:rsidRDefault="00680511" w:rsidP="00680511">
      <w:r w:rsidRPr="00680511">
        <w:t>* Koppeling van nationale bevrijding aan sociale verandering.</w:t>
      </w:r>
    </w:p>
    <w:p w14:paraId="23C4F5C6" w14:textId="77777777" w:rsidR="00680511" w:rsidRPr="00680511" w:rsidRDefault="00680511" w:rsidP="00680511">
      <w:r w:rsidRPr="00680511">
        <w:t>2. **De logica van anticommunistische onderdrukking**</w:t>
      </w:r>
    </w:p>
    <w:p w14:paraId="56156F9D" w14:textId="77777777" w:rsidR="00680511" w:rsidRPr="00680511" w:rsidRDefault="00680511" w:rsidP="00680511">
      <w:r w:rsidRPr="00680511">
        <w:t>* Samenwerking met de bestaande machtsverhoudingen.</w:t>
      </w:r>
    </w:p>
    <w:p w14:paraId="0F67CD34" w14:textId="77777777" w:rsidR="00680511" w:rsidRPr="00680511" w:rsidRDefault="00680511" w:rsidP="00680511">
      <w:r w:rsidRPr="00680511">
        <w:t>* Prioriteit aan het voorkomen van sociale revolutie.</w:t>
      </w:r>
    </w:p>
    <w:p w14:paraId="1C37FE56" w14:textId="77777777" w:rsidR="00680511" w:rsidRPr="00680511" w:rsidRDefault="00680511" w:rsidP="00680511">
      <w:r w:rsidRPr="00680511">
        <w:t>* Integratie in het mechanisme van het bezettingsbestuur.</w:t>
      </w:r>
    </w:p>
    <w:p w14:paraId="2B24F6CB" w14:textId="77777777" w:rsidR="00680511" w:rsidRPr="00680511" w:rsidRDefault="00680511" w:rsidP="00680511">
      <w:r w:rsidRPr="00680511">
        <w:t>---</w:t>
      </w:r>
    </w:p>
    <w:p w14:paraId="441CA383" w14:textId="77777777" w:rsidR="00680511" w:rsidRPr="00680511" w:rsidRDefault="00680511" w:rsidP="00680511">
      <w:r w:rsidRPr="00680511">
        <w:t>Naoorlogse erfenis</w:t>
      </w:r>
    </w:p>
    <w:p w14:paraId="19B9A34C" w14:textId="77777777" w:rsidR="00680511" w:rsidRPr="00680511" w:rsidRDefault="00680511" w:rsidP="00680511">
      <w:r w:rsidRPr="00680511">
        <w:t>Na de bevrijding kruisten de wegen van de twee kampen elkaar in de burgeroorlog. Veel kaderleden van de Veiligheidsbrigades werden opgenomen in het naoorlogse staatsapparaat. De EAM-beweging bleef, hoewel militair verslagen, sterk in het collectieve geheugen als de belangrijkste kracht van het verzet.</w:t>
      </w:r>
    </w:p>
    <w:p w14:paraId="01BA51C3" w14:textId="77777777" w:rsidR="00680511" w:rsidRPr="00680511" w:rsidRDefault="00680511" w:rsidP="00680511">
      <w:r w:rsidRPr="00680511">
        <w:t>Conclusie</w:t>
      </w:r>
    </w:p>
    <w:p w14:paraId="63DF4D53" w14:textId="77777777" w:rsidR="00680511" w:rsidRPr="00680511" w:rsidRDefault="00680511" w:rsidP="00680511">
      <w:r w:rsidRPr="00680511">
        <w:t xml:space="preserve">De tegenstelling tussen communisten en </w:t>
      </w:r>
      <w:proofErr w:type="spellStart"/>
      <w:r w:rsidRPr="00680511">
        <w:t>Tagmata</w:t>
      </w:r>
      <w:proofErr w:type="spellEnd"/>
      <w:r w:rsidRPr="00680511">
        <w:t>-leden tijdens de bezetting laat twee diametraal tegenovergestelde houdingen ten opzichte van de historische crisis zien:</w:t>
      </w:r>
    </w:p>
    <w:p w14:paraId="08A65ECC" w14:textId="77777777" w:rsidR="00680511" w:rsidRPr="00680511" w:rsidRDefault="00680511" w:rsidP="00680511">
      <w:r w:rsidRPr="00680511">
        <w:t>* De eerste investeerde in volksinitiatief en het vooruitzicht van sociale transformatie door middel van verzet.</w:t>
      </w:r>
    </w:p>
    <w:p w14:paraId="718F62F7" w14:textId="77777777" w:rsidR="00680511" w:rsidRPr="00680511" w:rsidRDefault="00680511" w:rsidP="00680511">
      <w:r w:rsidRPr="00680511">
        <w:t>* De tweede koos voor samenwerking met de bezetter in naam van anticommunistische stabiliteit.</w:t>
      </w:r>
    </w:p>
    <w:p w14:paraId="24D49A0A" w14:textId="77777777" w:rsidR="00680511" w:rsidRPr="00680511" w:rsidRDefault="00680511" w:rsidP="00680511">
      <w:r w:rsidRPr="00680511">
        <w:t>Historisch onderzoek moet de daden van beide partijen met documentatie en nuchterheid onderzoeken en zowel de massale bevrijdingsdynamiek van de verzetsbeweging als de rol van gewapende samenwerking in de verdieping van het interne conflict dat tot de burgeroorlog leidde, erkennen.</w:t>
      </w:r>
    </w:p>
    <w:p w14:paraId="0B26324D" w14:textId="77777777" w:rsidR="00680511" w:rsidRPr="00680511" w:rsidRDefault="00680511" w:rsidP="00680511">
      <w:proofErr w:type="spellStart"/>
      <w:r w:rsidRPr="00680511">
        <w:t>Skaripas</w:t>
      </w:r>
      <w:proofErr w:type="spellEnd"/>
      <w:r w:rsidRPr="00680511">
        <w:t xml:space="preserve"> Nikos</w:t>
      </w:r>
    </w:p>
    <w:p w14:paraId="47E4B11E" w14:textId="0440647F" w:rsidR="00A13ADC" w:rsidRDefault="00680511">
      <w:r>
        <w:rPr>
          <w:noProof/>
        </w:rPr>
        <w:lastRenderedPageBreak/>
        <w:drawing>
          <wp:inline distT="0" distB="0" distL="0" distR="0" wp14:anchorId="3DE3FA21" wp14:editId="355C074C">
            <wp:extent cx="5619750" cy="4305300"/>
            <wp:effectExtent l="0" t="0" r="0" b="0"/>
            <wp:docPr id="125569186" name="Afbeelding 1" descr="Afbeelding met kleding, buitenshuis, wapen, gewe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69186" name="Afbeelding 1" descr="Afbeelding met kleding, buitenshuis, wapen, geweer&#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4305300"/>
                    </a:xfrm>
                    <a:prstGeom prst="rect">
                      <a:avLst/>
                    </a:prstGeom>
                    <a:noFill/>
                    <a:ln>
                      <a:noFill/>
                    </a:ln>
                  </pic:spPr>
                </pic:pic>
              </a:graphicData>
            </a:graphic>
          </wp:inline>
        </w:drawing>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511"/>
    <w:rsid w:val="00680511"/>
    <w:rsid w:val="0079222E"/>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A453"/>
  <w15:chartTrackingRefBased/>
  <w15:docId w15:val="{D7DC935B-9950-4F32-BF6C-2FAB0B1C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805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805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805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805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805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805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05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05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05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05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805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805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805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805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805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05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05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0511"/>
    <w:rPr>
      <w:rFonts w:eastAsiaTheme="majorEastAsia" w:cstheme="majorBidi"/>
      <w:color w:val="272727" w:themeColor="text1" w:themeTint="D8"/>
    </w:rPr>
  </w:style>
  <w:style w:type="paragraph" w:styleId="Titel">
    <w:name w:val="Title"/>
    <w:basedOn w:val="Standaard"/>
    <w:next w:val="Standaard"/>
    <w:link w:val="TitelChar"/>
    <w:uiPriority w:val="10"/>
    <w:qFormat/>
    <w:rsid w:val="0068051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05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05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05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05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0511"/>
    <w:rPr>
      <w:i/>
      <w:iCs/>
      <w:color w:val="404040" w:themeColor="text1" w:themeTint="BF"/>
    </w:rPr>
  </w:style>
  <w:style w:type="paragraph" w:styleId="Lijstalinea">
    <w:name w:val="List Paragraph"/>
    <w:basedOn w:val="Standaard"/>
    <w:uiPriority w:val="34"/>
    <w:qFormat/>
    <w:rsid w:val="00680511"/>
    <w:pPr>
      <w:ind w:left="720"/>
      <w:contextualSpacing/>
    </w:pPr>
  </w:style>
  <w:style w:type="character" w:styleId="Intensievebenadrukking">
    <w:name w:val="Intense Emphasis"/>
    <w:basedOn w:val="Standaardalinea-lettertype"/>
    <w:uiPriority w:val="21"/>
    <w:qFormat/>
    <w:rsid w:val="00680511"/>
    <w:rPr>
      <w:i/>
      <w:iCs/>
      <w:color w:val="0F4761" w:themeColor="accent1" w:themeShade="BF"/>
    </w:rPr>
  </w:style>
  <w:style w:type="paragraph" w:styleId="Duidelijkcitaat">
    <w:name w:val="Intense Quote"/>
    <w:basedOn w:val="Standaard"/>
    <w:next w:val="Standaard"/>
    <w:link w:val="DuidelijkcitaatChar"/>
    <w:uiPriority w:val="30"/>
    <w:qFormat/>
    <w:rsid w:val="006805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80511"/>
    <w:rPr>
      <w:i/>
      <w:iCs/>
      <w:color w:val="0F4761" w:themeColor="accent1" w:themeShade="BF"/>
    </w:rPr>
  </w:style>
  <w:style w:type="character" w:styleId="Intensieveverwijzing">
    <w:name w:val="Intense Reference"/>
    <w:basedOn w:val="Standaardalinea-lettertype"/>
    <w:uiPriority w:val="32"/>
    <w:qFormat/>
    <w:rsid w:val="006805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654</Words>
  <Characters>3597</Characters>
  <Application>Microsoft Office Word</Application>
  <DocSecurity>0</DocSecurity>
  <Lines>29</Lines>
  <Paragraphs>8</Paragraphs>
  <ScaleCrop>false</ScaleCrop>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2026-02-23T09:18:00Z</dcterms:created>
  <dcterms:modified xsi:type="dcterms:W3CDTF">2026-02-23T09:19:00Z</dcterms:modified>
</cp:coreProperties>
</file>