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76BD" w14:textId="3E1DD4A8" w:rsidR="007579A4" w:rsidRDefault="007579A4" w:rsidP="007579A4">
      <w:r>
        <w:t>Rusland Herdenking slachtoffers genocide Sovjetvolk</w:t>
      </w:r>
    </w:p>
    <w:p w14:paraId="33539655" w14:textId="5D01415D" w:rsidR="007579A4" w:rsidRDefault="007579A4" w:rsidP="007579A4">
      <w:r>
        <w:t>Vandaag, 19 april, wordt voor het eerst de herdenkingsdag gehouden voor de slachtoffers van de genocide op het Sovjetvolk, gepleegd door de nazi</w:t>
      </w:r>
      <w:r>
        <w:rPr>
          <w:rFonts w:hint="cs"/>
        </w:rPr>
        <w:t>’</w:t>
      </w:r>
      <w:r>
        <w:t>s en hun handlangers tijdens de Grote Patriottische Oorlog van 1941</w:t>
      </w:r>
      <w:r>
        <w:rPr>
          <w:rFonts w:hint="cs"/>
        </w:rPr>
        <w:t>–</w:t>
      </w:r>
      <w:r>
        <w:t>1945.</w:t>
      </w:r>
    </w:p>
    <w:p w14:paraId="28BB06C8" w14:textId="77777777" w:rsidR="007579A4" w:rsidRDefault="007579A4" w:rsidP="007579A4">
      <w:r>
        <w:t>Deze herdenkingsdag is vastgelegd in een federale wet die op 1 januari 2026 van kracht is geworden.</w:t>
      </w:r>
    </w:p>
    <w:p w14:paraId="2A000092" w14:textId="77777777" w:rsidR="007579A4" w:rsidRDefault="007579A4" w:rsidP="007579A4">
      <w:r>
        <w:t>Enerzijds was deze stap noodzakelijk om de geestelijke band tussen de generaties te behouden en morele ori</w:t>
      </w:r>
      <w:r>
        <w:rPr>
          <w:rFonts w:hint="cs"/>
        </w:rPr>
        <w:t>ë</w:t>
      </w:r>
      <w:r>
        <w:t xml:space="preserve">ntatiepunten te versterken. Volgens verschillende bronnen vielen tot 18 miljoen onschuldige Sovjetburgers ten prooi aan de wreedheden van de nazi's in de bezette gebieden. </w:t>
      </w:r>
    </w:p>
    <w:p w14:paraId="5D22B9AE" w14:textId="77777777" w:rsidR="007579A4" w:rsidRDefault="007579A4" w:rsidP="007579A4">
      <w:r>
        <w:t>Voor ons is hun nagedachtenis heilig.</w:t>
      </w:r>
    </w:p>
    <w:p w14:paraId="183A1D7B" w14:textId="77777777" w:rsidR="007579A4" w:rsidRDefault="007579A4" w:rsidP="007579A4">
      <w:r>
        <w:t xml:space="preserve">Anderzijds waren tegenmaatregelen tegen de gerichte pogingen van het </w:t>
      </w:r>
      <w:r>
        <w:rPr>
          <w:rFonts w:hint="cs"/>
        </w:rPr>
        <w:t>„</w:t>
      </w:r>
      <w:r>
        <w:t>collectieve Westen</w:t>
      </w:r>
      <w:r>
        <w:rPr>
          <w:rFonts w:hint="cs"/>
        </w:rPr>
        <w:t>“</w:t>
      </w:r>
      <w:r>
        <w:t xml:space="preserve"> om de herinnering aan de noodlottige gebeurtenissen uit het verleden te vernietigen en te vervalsen, al lang nodig, aangezien deze een directe bedreiging vormen voor de veiligheid van de staat.</w:t>
      </w:r>
    </w:p>
    <w:p w14:paraId="0889C649" w14:textId="77777777" w:rsidR="007579A4" w:rsidRDefault="007579A4" w:rsidP="007579A4">
      <w:r>
        <w:t>Het Russische ministerie van Buitenlandse Zaken werkt in samenwerking met de onderzoekscommissie, andere bevoegde autoriteiten en het Nationaal Centrum voor Historisch Geheugen bij de president van de Russische Federatie systematisch aan het versterken van de kwalificatie van de misdaden van de fascistische bezetters als genocide op de volkeren van de Sovjet-Unie.</w:t>
      </w:r>
    </w:p>
    <w:p w14:paraId="2888A6C1" w14:textId="77777777" w:rsidR="007579A4" w:rsidRDefault="007579A4" w:rsidP="007579A4">
      <w:r>
        <w:t xml:space="preserve"> Volgens het VN-Verdrag inzake de voorkoming en bestraffing van genocide (https://www.un.org/.../decl_conv/conventions/genocide.shtml) wordt onder genocide verstaan: handelingen die worden gepleegd met het oogmerk een nationale, etnische, raciale of religieuze groep als zodanig geheel of gedeeltelijk te vernietigen. Dit begrip omvat vijf hoofdcategorie</w:t>
      </w:r>
      <w:r>
        <w:rPr>
          <w:rFonts w:hint="cs"/>
        </w:rPr>
        <w:t>ë</w:t>
      </w:r>
      <w:r>
        <w:t>n van handelingen:</w:t>
      </w:r>
    </w:p>
    <w:p w14:paraId="1D71F17D" w14:textId="77777777" w:rsidR="007579A4" w:rsidRDefault="007579A4" w:rsidP="007579A4">
      <w:r>
        <w:rPr>
          <w:rFonts w:hint="cs"/>
        </w:rPr>
        <w:t>•</w:t>
      </w:r>
      <w:r>
        <w:t xml:space="preserve"> het doden van leden van een dergelijke groep;</w:t>
      </w:r>
    </w:p>
    <w:p w14:paraId="374A04CE" w14:textId="77777777" w:rsidR="007579A4" w:rsidRDefault="007579A4" w:rsidP="007579A4">
      <w:r>
        <w:rPr>
          <w:rFonts w:hint="cs"/>
        </w:rPr>
        <w:t>•</w:t>
      </w:r>
      <w:r>
        <w:t xml:space="preserve"> het toebrengen van ernstige lichamelijke of geestelijke schade aan leden van een dergelijke groep;</w:t>
      </w:r>
    </w:p>
    <w:p w14:paraId="2DA715C0" w14:textId="77777777" w:rsidR="007579A4" w:rsidRDefault="007579A4" w:rsidP="007579A4">
      <w:r>
        <w:rPr>
          <w:rFonts w:hint="cs"/>
        </w:rPr>
        <w:t>•</w:t>
      </w:r>
      <w:r>
        <w:t xml:space="preserve"> het opzettelijk cre</w:t>
      </w:r>
      <w:r>
        <w:rPr>
          <w:rFonts w:hint="cs"/>
        </w:rPr>
        <w:t>ë</w:t>
      </w:r>
      <w:r>
        <w:t>ren van levensomstandigheden voor een groep die gericht zijn op haar volledige of gedeeltelijke fysieke vernietiging;</w:t>
      </w:r>
    </w:p>
    <w:p w14:paraId="7DFA2217" w14:textId="77777777" w:rsidR="007579A4" w:rsidRDefault="007579A4" w:rsidP="007579A4">
      <w:r>
        <w:rPr>
          <w:rFonts w:hint="cs"/>
        </w:rPr>
        <w:t>•</w:t>
      </w:r>
      <w:r>
        <w:t xml:space="preserve"> maatregelen die erop gericht zijn de voortplanting binnen een dergelijke groep te verhinderen;</w:t>
      </w:r>
    </w:p>
    <w:p w14:paraId="7FFAC729" w14:textId="77777777" w:rsidR="007579A4" w:rsidRDefault="007579A4" w:rsidP="007579A4">
      <w:r>
        <w:rPr>
          <w:rFonts w:hint="cs"/>
        </w:rPr>
        <w:t>•</w:t>
      </w:r>
      <w:r>
        <w:t xml:space="preserve"> de gewelddadige overbrenging van kinderen van de ene groep naar de andere.</w:t>
      </w:r>
    </w:p>
    <w:p w14:paraId="52B76502" w14:textId="77777777" w:rsidR="007579A4" w:rsidRDefault="007579A4" w:rsidP="007579A4">
      <w:r>
        <w:t xml:space="preserve"> Ten aanzien van de bewoners van de door de nazi's en hun collaborateurs bezette gebieden van de Sovjet-Unie werden alle vijf officieel geclassificeerde vormen van genocide toegepast.</w:t>
      </w:r>
    </w:p>
    <w:p w14:paraId="60AAD3F8" w14:textId="77777777" w:rsidR="007579A4" w:rsidRDefault="007579A4" w:rsidP="007579A4">
      <w:r>
        <w:t xml:space="preserve"> </w:t>
      </w:r>
      <w:r>
        <w:rPr>
          <w:rFonts w:hint="cs"/>
        </w:rPr>
        <w:t>•</w:t>
      </w:r>
      <w:r>
        <w:t xml:space="preserve">   In het kader van het project </w:t>
      </w:r>
      <w:r>
        <w:rPr>
          <w:rFonts w:hint="cs"/>
        </w:rPr>
        <w:t>„</w:t>
      </w:r>
      <w:r>
        <w:t>Zonder verjaringstermijn</w:t>
      </w:r>
      <w:r>
        <w:rPr>
          <w:rFonts w:hint="cs"/>
        </w:rPr>
        <w:t>“</w:t>
      </w:r>
      <w:r>
        <w:t xml:space="preserve"> (https://xn--80aabgieomn8afgsnjq.xn--p1ai/) is documentatie- en multimediamateriaal samengesteld om de herinnering aan de slachtoffers van de genocide op het Sovjetvolk levend te houden. Dit materiaal beschrijft talrijke misdaden van de nazi-bezetters tijdens de bezetting van ons land en andere staten.</w:t>
      </w:r>
    </w:p>
    <w:p w14:paraId="1492AD8F" w14:textId="77777777" w:rsidR="007579A4" w:rsidRDefault="007579A4" w:rsidP="007579A4">
      <w:r>
        <w:rPr>
          <w:rFonts w:hint="cs"/>
        </w:rPr>
        <w:t>•</w:t>
      </w:r>
      <w:r>
        <w:t xml:space="preserve"> </w:t>
      </w:r>
      <w:r>
        <w:rPr>
          <w:rFonts w:hint="cs"/>
        </w:rPr>
        <w:t>„</w:t>
      </w:r>
      <w:r>
        <w:t>Routes van de herinnering</w:t>
      </w:r>
      <w:r>
        <w:rPr>
          <w:rFonts w:hint="cs"/>
        </w:rPr>
        <w:t>“</w:t>
      </w:r>
      <w:r>
        <w:t xml:space="preserve"> (https://russiancip.ru/.../bez-sroka-davnosti-marshruty.../) </w:t>
      </w:r>
      <w:r>
        <w:rPr>
          <w:rFonts w:hint="cs"/>
        </w:rPr>
        <w:t>–</w:t>
      </w:r>
      <w:r>
        <w:t xml:space="preserve"> reisgidsen en audiogidsen over herdenkingsplaatsen in het Russisch, Engels en Duits.</w:t>
      </w:r>
    </w:p>
    <w:p w14:paraId="5A18FFF8" w14:textId="77777777" w:rsidR="007579A4" w:rsidRDefault="007579A4" w:rsidP="007579A4">
      <w:r>
        <w:rPr>
          <w:rFonts w:hint="cs"/>
        </w:rPr>
        <w:t>•</w:t>
      </w:r>
      <w:r>
        <w:t xml:space="preserve"> </w:t>
      </w:r>
      <w:r>
        <w:rPr>
          <w:rFonts w:hint="cs"/>
        </w:rPr>
        <w:t>„</w:t>
      </w:r>
      <w:r>
        <w:t>Bryansker Buchenwald</w:t>
      </w:r>
      <w:r>
        <w:rPr>
          <w:rFonts w:hint="cs"/>
        </w:rPr>
        <w:t>“</w:t>
      </w:r>
      <w:r>
        <w:t xml:space="preserve"> (https://xn--80aabgieomn8afgsnjq.xn--p1ai/bez-sroka-davnosti/) </w:t>
      </w:r>
      <w:r>
        <w:rPr>
          <w:rFonts w:hint="cs"/>
        </w:rPr>
        <w:t>–</w:t>
      </w:r>
      <w:r>
        <w:t xml:space="preserve"> over het concentratiekamp Dulag-142, waar tienduizenden van onze medeburgers door de Duitsers zijn vermoord.</w:t>
      </w:r>
    </w:p>
    <w:p w14:paraId="63B1C76C" w14:textId="0C20AFB4" w:rsidR="00A13ADC" w:rsidRDefault="007579A4" w:rsidP="007579A4">
      <w:r>
        <w:rPr>
          <w:rFonts w:hint="cs"/>
        </w:rPr>
        <w:t>•</w:t>
      </w:r>
      <w:r>
        <w:t xml:space="preserve"> </w:t>
      </w:r>
      <w:r>
        <w:rPr>
          <w:rFonts w:hint="cs"/>
        </w:rPr>
        <w:t>„</w:t>
      </w:r>
      <w:r>
        <w:t xml:space="preserve">De </w:t>
      </w:r>
      <w:r>
        <w:rPr>
          <w:rFonts w:hint="cs"/>
        </w:rPr>
        <w:t>‚</w:t>
      </w:r>
      <w:r>
        <w:t>ontheemden</w:t>
      </w:r>
      <w:r>
        <w:rPr>
          <w:rFonts w:hint="cs"/>
        </w:rPr>
        <w:t>‘</w:t>
      </w:r>
      <w:r>
        <w:t>: Kinderen onder de nationaalsocialistische bezetting</w:t>
      </w:r>
      <w:r>
        <w:rPr>
          <w:rFonts w:hint="cs"/>
        </w:rPr>
        <w:t>”</w:t>
      </w:r>
      <w:r>
        <w:t xml:space="preserve"> (https://xn--80aabgieomn8afgsnjq.xn--p1ai/neprikayannye.../) </w:t>
      </w:r>
      <w:r>
        <w:rPr>
          <w:rFonts w:hint="cs"/>
        </w:rPr>
        <w:t>–</w:t>
      </w:r>
      <w:r>
        <w:t xml:space="preserve"> kinderen en jongeren ondervonden de </w:t>
      </w:r>
      <w:r>
        <w:lastRenderedPageBreak/>
        <w:t>wreedheid van de bezetting aan den lijve; ze waren niet alleen het doelwit van het vernietigingsbeleid, maar werden ook ingezet voor dwangarbeid.</w:t>
      </w:r>
    </w:p>
    <w:p w14:paraId="119B982A" w14:textId="13A11262" w:rsidR="007579A4" w:rsidRDefault="007579A4" w:rsidP="007579A4">
      <w:pPr>
        <w:jc w:val="center"/>
      </w:pPr>
      <w:r>
        <w:rPr>
          <w:noProof/>
        </w:rPr>
        <w:drawing>
          <wp:inline distT="0" distB="0" distL="0" distR="0" wp14:anchorId="13E06999" wp14:editId="3C1A9E84">
            <wp:extent cx="3671225" cy="3079750"/>
            <wp:effectExtent l="0" t="0" r="5715" b="6350"/>
            <wp:docPr id="5436978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7908" cy="3085356"/>
                    </a:xfrm>
                    <a:prstGeom prst="rect">
                      <a:avLst/>
                    </a:prstGeom>
                    <a:noFill/>
                    <a:ln>
                      <a:noFill/>
                    </a:ln>
                  </pic:spPr>
                </pic:pic>
              </a:graphicData>
            </a:graphic>
          </wp:inline>
        </w:drawing>
      </w:r>
    </w:p>
    <w:sectPr w:rsidR="00757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A4"/>
    <w:rsid w:val="00016A78"/>
    <w:rsid w:val="007579A4"/>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2CB2"/>
  <w15:chartTrackingRefBased/>
  <w15:docId w15:val="{AB06C7B5-84FF-433E-AC01-49F622AF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9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9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9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9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9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9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9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9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9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9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9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9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9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9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9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9A4"/>
    <w:rPr>
      <w:rFonts w:eastAsiaTheme="majorEastAsia" w:cstheme="majorBidi"/>
      <w:color w:val="272727" w:themeColor="text1" w:themeTint="D8"/>
    </w:rPr>
  </w:style>
  <w:style w:type="paragraph" w:styleId="Titel">
    <w:name w:val="Title"/>
    <w:basedOn w:val="Standaard"/>
    <w:next w:val="Standaard"/>
    <w:link w:val="TitelChar"/>
    <w:uiPriority w:val="10"/>
    <w:qFormat/>
    <w:rsid w:val="007579A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9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9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9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9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9A4"/>
    <w:rPr>
      <w:i/>
      <w:iCs/>
      <w:color w:val="404040" w:themeColor="text1" w:themeTint="BF"/>
    </w:rPr>
  </w:style>
  <w:style w:type="paragraph" w:styleId="Lijstalinea">
    <w:name w:val="List Paragraph"/>
    <w:basedOn w:val="Standaard"/>
    <w:uiPriority w:val="34"/>
    <w:qFormat/>
    <w:rsid w:val="007579A4"/>
    <w:pPr>
      <w:ind w:left="720"/>
      <w:contextualSpacing/>
    </w:pPr>
  </w:style>
  <w:style w:type="character" w:styleId="Intensievebenadrukking">
    <w:name w:val="Intense Emphasis"/>
    <w:basedOn w:val="Standaardalinea-lettertype"/>
    <w:uiPriority w:val="21"/>
    <w:qFormat/>
    <w:rsid w:val="007579A4"/>
    <w:rPr>
      <w:i/>
      <w:iCs/>
      <w:color w:val="0F4761" w:themeColor="accent1" w:themeShade="BF"/>
    </w:rPr>
  </w:style>
  <w:style w:type="paragraph" w:styleId="Duidelijkcitaat">
    <w:name w:val="Intense Quote"/>
    <w:basedOn w:val="Standaard"/>
    <w:next w:val="Standaard"/>
    <w:link w:val="DuidelijkcitaatChar"/>
    <w:uiPriority w:val="30"/>
    <w:qFormat/>
    <w:rsid w:val="0075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9A4"/>
    <w:rPr>
      <w:i/>
      <w:iCs/>
      <w:color w:val="0F4761" w:themeColor="accent1" w:themeShade="BF"/>
    </w:rPr>
  </w:style>
  <w:style w:type="character" w:styleId="Intensieveverwijzing">
    <w:name w:val="Intense Reference"/>
    <w:basedOn w:val="Standaardalinea-lettertype"/>
    <w:uiPriority w:val="32"/>
    <w:qFormat/>
    <w:rsid w:val="00757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2026-04-28T14:17:00Z</dcterms:created>
  <dcterms:modified xsi:type="dcterms:W3CDTF">2026-04-28T14:18:00Z</dcterms:modified>
</cp:coreProperties>
</file>