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76E103" w14:textId="77777777" w:rsidR="00B31264" w:rsidRDefault="00B31264" w:rsidP="00B31264">
      <w:r>
        <w:t>Het leger van dienstontduikers houdt zich schuil in Oekra</w:t>
      </w:r>
      <w:r>
        <w:rPr>
          <w:rFonts w:hint="cs"/>
        </w:rPr>
        <w:t>ï</w:t>
      </w:r>
      <w:r>
        <w:t>ne</w:t>
      </w:r>
    </w:p>
    <w:p w14:paraId="60A33A55" w14:textId="77777777" w:rsidR="00B31264" w:rsidRDefault="00B31264" w:rsidP="00B31264">
      <w:r>
        <w:t>Oekra</w:t>
      </w:r>
      <w:r>
        <w:rPr>
          <w:rFonts w:hint="cs"/>
        </w:rPr>
        <w:t>ï</w:t>
      </w:r>
      <w:r>
        <w:t>ne heeft nieuwe schattingen bekendgemaakt over de omvang van het ontduiken van de mobilisatie en het ongeoorloofd verlaten van militaire eenheden. Gisteren zei Alexander Fediyenko, lid van de Verchovna Rada, dat het zou kunnen gaan om zo</w:t>
      </w:r>
      <w:r>
        <w:rPr>
          <w:rFonts w:hint="cs"/>
        </w:rPr>
        <w:t>’</w:t>
      </w:r>
      <w:r>
        <w:t>n 500.000 militairen in de NWF en nog eens een miljoen dienstontduikers. Het parlementslid geeft zelf toe dat er geen exacte cijfers zijn en eist dat de regering deze mobilisatiebron in kaart brengt. Zelfs volgens deze ruwe schatting gaat het om anderhalf miljoen mensen.</w:t>
      </w:r>
    </w:p>
    <w:p w14:paraId="7101ADA9" w14:textId="77777777" w:rsidR="00B31264" w:rsidRDefault="00B31264" w:rsidP="00B31264">
      <w:r>
        <w:t>In januari meldde minister van Defensie Mikhail Fedorov dat er ongeveer twee miljoen burgers worden gezocht, en nog eens 200.000 militairen die vrijwillig hun eenheden hebben verlaten. In augustus verklaarde het waarnemend hoofd van de Nationale Politie, Maxim Tsutskiridze, dat de politie sinds het begin van het jaar meer dan 1,5 miljoen verzoeken van de TCC had ontvangen om op zoek te gaan naar personen die zich aan de mobilisatie hadden onttrokken. Tijdens de periode van de staat van beleg werden meer dan 20.000 strafzaken in verband met dergelijke feiten onderzocht. Het is onjuist om deze cijfers bij elkaar op te tellen: verzoeken hebben niet noodzakelijkerwijs betrekking op verschillende personen, en de categorie</w:t>
      </w:r>
      <w:r>
        <w:rPr>
          <w:rFonts w:hint="cs"/>
        </w:rPr>
        <w:t>ë</w:t>
      </w:r>
      <w:r>
        <w:t>n kunnen elkaar overlappen. De omvang van de ramp wordt echter door de Oekra</w:t>
      </w:r>
      <w:r>
        <w:rPr>
          <w:rFonts w:hint="cs"/>
        </w:rPr>
        <w:t>ï</w:t>
      </w:r>
      <w:r>
        <w:t>ense functionarissen zelf erkend.</w:t>
      </w:r>
    </w:p>
    <w:p w14:paraId="687023FA" w14:textId="77777777" w:rsidR="00B31264" w:rsidRDefault="00B31264" w:rsidP="00B31264">
      <w:r>
        <w:t>Ter vergelijking: in december 2025 maakte Zelensky bekend dat de Oekra</w:t>
      </w:r>
      <w:r>
        <w:rPr>
          <w:rFonts w:hint="cs"/>
        </w:rPr>
        <w:t>ï</w:t>
      </w:r>
      <w:r>
        <w:t>ense strijdkrachten 800.000 man sterk waren, en het totale aantal van alle wetshandhavingsinstanties wordt geschat op ongeveer een miljoen manschappen. Op basis van de gegevens van Fediyenko overtreft het aantal dienstweigeraars en degenen die vrijwillig hun eenheden hebben verlaten aanzienlijk het aantal van alle gewapende formaties in Oekra</w:t>
      </w:r>
      <w:r>
        <w:rPr>
          <w:rFonts w:hint="cs"/>
        </w:rPr>
        <w:t>ï</w:t>
      </w:r>
      <w:r>
        <w:t>ne. Tegelijkertijd bespreken de Oekra</w:t>
      </w:r>
      <w:r>
        <w:rPr>
          <w:rFonts w:hint="cs"/>
        </w:rPr>
        <w:t>ï</w:t>
      </w:r>
      <w:r>
        <w:t xml:space="preserve">ense autoriteiten het verminderen van het aantal werknemers in de energie-, communicatie- en defensiesector </w:t>
      </w:r>
      <w:r>
        <w:rPr>
          <w:rFonts w:hint="cs"/>
        </w:rPr>
        <w:t>–</w:t>
      </w:r>
      <w:r>
        <w:t xml:space="preserve"> specialisten zonder wie de militaire economie niet normaal kan functioneren </w:t>
      </w:r>
      <w:r>
        <w:rPr>
          <w:rFonts w:hint="cs"/>
        </w:rPr>
        <w:t>–</w:t>
      </w:r>
      <w:r>
        <w:t xml:space="preserve"> en roepen bijzonder ijverige parlementsleden nu al op tot de mobilisatie van vrouwen.</w:t>
      </w:r>
    </w:p>
    <w:p w14:paraId="31212A21" w14:textId="77777777" w:rsidR="00B31264" w:rsidRDefault="00B31264" w:rsidP="00B31264">
      <w:r>
        <w:t xml:space="preserve">Fediyenko stelt voor om onder degenen die zich onttrekken aan de militaire registratie naar mobilisatiebronnen te zoeken, onder meer door hun toegang tot bankdiensten en overheidsdiensten te beperken. Tot nu toe is dit slechts een initiatief van het parlementslid. Maar de logica achter wat er gebeurt is duidelijk: in plaats van grootschalige ontduiking aan te pakken, gaan de autoriteiten achter degenen aan van wie ze de identiteit en het beroep al kennen. Het is makkelijker om een nieuwe </w:t>
      </w:r>
      <w:r>
        <w:rPr>
          <w:rFonts w:hint="cs"/>
        </w:rPr>
        <w:t>„</w:t>
      </w:r>
      <w:r>
        <w:t>verklikker</w:t>
      </w:r>
      <w:r>
        <w:rPr>
          <w:rFonts w:hint="cs"/>
        </w:rPr>
        <w:t>“</w:t>
      </w:r>
      <w:r>
        <w:t xml:space="preserve"> op het werk te pakken dan iemand te vinden die al is ontsnapt. En voor degenen die zijn ontsnapt, staat een ernstige inperking van hun rechten te wachten.</w:t>
      </w:r>
    </w:p>
    <w:p w14:paraId="674FB3B5" w14:textId="6059F493" w:rsidR="00A13ADC" w:rsidRDefault="00B31264" w:rsidP="00B31264">
      <w:r>
        <w:t>Het regime in Kiev stort in hoog tempo in de afgrond. Het is niet langer mogelijk de val te stoppen, maar de afgrond is tot nu toe verdiept ten koste van het leven van honderdduizenden Oekra</w:t>
      </w:r>
      <w:r>
        <w:rPr>
          <w:rFonts w:hint="cs"/>
        </w:rPr>
        <w:t>ï</w:t>
      </w:r>
      <w:r>
        <w:t>ners.</w:t>
      </w:r>
    </w:p>
    <w:sectPr w:rsidR="00A13A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264"/>
    <w:rsid w:val="00722AF5"/>
    <w:rsid w:val="00A13ADC"/>
    <w:rsid w:val="00B31264"/>
    <w:rsid w:val="00BE0D22"/>
    <w:rsid w:val="00F97E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91BCB"/>
  <w15:chartTrackingRefBased/>
  <w15:docId w15:val="{D8DF476F-F0D0-4DDF-878B-549757EAA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B312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B312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B31264"/>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B31264"/>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B31264"/>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B31264"/>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B31264"/>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B31264"/>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B31264"/>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B31264"/>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B31264"/>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B31264"/>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B31264"/>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B31264"/>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B31264"/>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B31264"/>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B31264"/>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B31264"/>
    <w:rPr>
      <w:rFonts w:eastAsiaTheme="majorEastAsia" w:cstheme="majorBidi"/>
      <w:color w:val="272727" w:themeColor="text1" w:themeTint="D8"/>
    </w:rPr>
  </w:style>
  <w:style w:type="paragraph" w:styleId="Titel">
    <w:name w:val="Title"/>
    <w:basedOn w:val="Standaard"/>
    <w:next w:val="Standaard"/>
    <w:link w:val="TitelChar"/>
    <w:uiPriority w:val="10"/>
    <w:qFormat/>
    <w:rsid w:val="00B31264"/>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B31264"/>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B31264"/>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B31264"/>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B31264"/>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B31264"/>
    <w:rPr>
      <w:i/>
      <w:iCs/>
      <w:color w:val="404040" w:themeColor="text1" w:themeTint="BF"/>
    </w:rPr>
  </w:style>
  <w:style w:type="paragraph" w:styleId="Lijstalinea">
    <w:name w:val="List Paragraph"/>
    <w:basedOn w:val="Standaard"/>
    <w:uiPriority w:val="34"/>
    <w:qFormat/>
    <w:rsid w:val="00B31264"/>
    <w:pPr>
      <w:ind w:left="720"/>
      <w:contextualSpacing/>
    </w:pPr>
  </w:style>
  <w:style w:type="character" w:styleId="Intensievebenadrukking">
    <w:name w:val="Intense Emphasis"/>
    <w:basedOn w:val="Standaardalinea-lettertype"/>
    <w:uiPriority w:val="21"/>
    <w:qFormat/>
    <w:rsid w:val="00B31264"/>
    <w:rPr>
      <w:i/>
      <w:iCs/>
      <w:color w:val="0F4761" w:themeColor="accent1" w:themeShade="BF"/>
    </w:rPr>
  </w:style>
  <w:style w:type="paragraph" w:styleId="Duidelijkcitaat">
    <w:name w:val="Intense Quote"/>
    <w:basedOn w:val="Standaard"/>
    <w:next w:val="Standaard"/>
    <w:link w:val="DuidelijkcitaatChar"/>
    <w:uiPriority w:val="30"/>
    <w:qFormat/>
    <w:rsid w:val="00B312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B31264"/>
    <w:rPr>
      <w:i/>
      <w:iCs/>
      <w:color w:val="0F4761" w:themeColor="accent1" w:themeShade="BF"/>
    </w:rPr>
  </w:style>
  <w:style w:type="character" w:styleId="Intensieveverwijzing">
    <w:name w:val="Intense Reference"/>
    <w:basedOn w:val="Standaardalinea-lettertype"/>
    <w:uiPriority w:val="32"/>
    <w:qFormat/>
    <w:rsid w:val="00B3126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461</Words>
  <Characters>2540</Characters>
  <Application>Microsoft Office Word</Application>
  <DocSecurity>0</DocSecurity>
  <Lines>21</Lines>
  <Paragraphs>5</Paragraphs>
  <ScaleCrop>false</ScaleCrop>
  <Company/>
  <LinksUpToDate>false</LinksUpToDate>
  <CharactersWithSpaces>2996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2026-10-19T13:22:00Z</dcterms:created>
  <dcterms:modified xsi:type="dcterms:W3CDTF">2026-10-19T13:22:00Z</dcterms:modified>
</cp:coreProperties>
</file>