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26C7" w14:textId="6EDBCF2D" w:rsidR="00437968" w:rsidRDefault="00437968" w:rsidP="00437968">
      <w:r>
        <w:t xml:space="preserve">USSR </w:t>
      </w:r>
      <w:r>
        <w:t>DIT MOET IEDEREEN WETEN, ZO ZELFSPREKEND ALS TWEE MAAL TWEE</w:t>
      </w:r>
    </w:p>
    <w:p w14:paraId="0293AFB6" w14:textId="77777777" w:rsidR="00437968" w:rsidRDefault="00437968" w:rsidP="00437968">
      <w:r>
        <w:t xml:space="preserve">Het Sovjet-socialisme heeft tijdelijk terrein verloren als gevolg van de burgerlijke contrarevolutie, die jarenlang doelbewust heeft geprobeerd de socialistische productieverhoudingen in de USSR te vernietigen. Deze begon NIET in de periode van Gorbatsjovs zogenaamde "perestrojka" (deze fase was de laatste fase van de contrarevolutie, toen de contrarevolutionaire krachten hun communistische masker afwierpen en openlijk overgingen tot de afbraak van het socialisme: de vernietiging van het maatschappelijk eigendom van de productiemiddelen en de restauratie van de kapitalistische verhoudingen), maar al in 1953, direct na de dood van Stalin. </w:t>
      </w:r>
    </w:p>
    <w:p w14:paraId="76C87FB4" w14:textId="77777777" w:rsidR="00437968" w:rsidRDefault="00437968" w:rsidP="00437968">
      <w:r>
        <w:t>Toen, als gevolg van een reeks voor het Sovjetpubliek verborgen terroristische aanslagen tegen leden van het Centraal Comit</w:t>
      </w:r>
      <w:r>
        <w:rPr>
          <w:rFonts w:hint="cs"/>
        </w:rPr>
        <w:t>é</w:t>
      </w:r>
      <w:r>
        <w:t xml:space="preserve"> en de Sovjetregering (vermoord werden Zjdanov, Beria, de gehele top van de Sovjetgeheime diensten, mogelijk I. Stalin zelf), de verwarring en gebrekkige organisatie van het bolsjewistische deel van de partij, het gebrek aan bewustzijn van de Sovjetarbeidersklasse, waarvan de beste vertegenwoordigers waren omgekomen in de Grote Patriottische Oorlog, slaagde een diep ondergedoken rechts-trotskistische contrarevolutionaire groep erin de meerderheid in de hoogste organen van de partij en de leidende posten in het hoogste staatsapparaat van de USSR te veroveren, in de eerste plaats die welke verantwoordelijk waren voor de machtsstructuren (Chroesjtsjov, Mikojan e.a.), die connecties had in het leger (Zjoekov, Batitski e.a.). </w:t>
      </w:r>
    </w:p>
    <w:p w14:paraId="04D80B24" w14:textId="77777777" w:rsidR="00437968" w:rsidRDefault="00437968" w:rsidP="00437968">
      <w:r>
        <w:t>Gebruikmakend van het enorme gezag van de communistische partij onder de arbeidersmassa</w:t>
      </w:r>
      <w:r>
        <w:rPr>
          <w:rFonts w:hint="cs"/>
        </w:rPr>
        <w:t>’</w:t>
      </w:r>
      <w:r>
        <w:t xml:space="preserve">s, voerden de contrarevolutionaire rechtse trotskisten de volgende koers: </w:t>
      </w:r>
    </w:p>
    <w:p w14:paraId="6F301A19" w14:textId="77777777" w:rsidR="00437968" w:rsidRDefault="00437968" w:rsidP="00437968">
      <w:r>
        <w:rPr>
          <w:rFonts w:hint="cs"/>
        </w:rPr>
        <w:t>—</w:t>
      </w:r>
      <w:r>
        <w:t xml:space="preserve"> in de politiek: op versterking van de centralisatie van de macht in de uniale organen met gelijktijdige inperking van het lokaal zelfbestuur; op beperking van de proletarische democratie door de arbeidersklasse en de arbeidersmassa</w:t>
      </w:r>
      <w:r>
        <w:rPr>
          <w:rFonts w:hint="cs"/>
        </w:rPr>
        <w:t>’</w:t>
      </w:r>
      <w:r>
        <w:t xml:space="preserve">s uit het staatsbestuur te verdringen, de klasseninhoud van de dictatuur van het proletariaat te uithollen en het kiesstelsel te formaliseren; </w:t>
      </w:r>
    </w:p>
    <w:p w14:paraId="23662FDD" w14:textId="77777777" w:rsidR="00437968" w:rsidRDefault="00437968" w:rsidP="00437968">
      <w:r>
        <w:rPr>
          <w:rFonts w:hint="cs"/>
        </w:rPr>
        <w:t>—</w:t>
      </w:r>
      <w:r>
        <w:t xml:space="preserve"> in de economie: op het geleidelijk ondermijnen van de socialistische productieverhoudingen en tegelijkertijd het scheppen van voorwaarden voor de groei en versterking van kleinburgerlijke tendensen in het land door de gewelddadige invoering van </w:t>
      </w:r>
      <w:r>
        <w:rPr>
          <w:rFonts w:hint="cs"/>
        </w:rPr>
        <w:t>‘</w:t>
      </w:r>
      <w:r>
        <w:t>marktmethoden</w:t>
      </w:r>
      <w:r>
        <w:rPr>
          <w:rFonts w:hint="cs"/>
        </w:rPr>
        <w:t>’</w:t>
      </w:r>
      <w:r>
        <w:t xml:space="preserve">; </w:t>
      </w:r>
    </w:p>
    <w:p w14:paraId="2246F1A7" w14:textId="77777777" w:rsidR="00437968" w:rsidRDefault="00437968" w:rsidP="00437968">
      <w:r>
        <w:rPr>
          <w:rFonts w:hint="cs"/>
        </w:rPr>
        <w:t>—</w:t>
      </w:r>
      <w:r>
        <w:t xml:space="preserve"> binnen de partij: op de onderdrukking van de interne partijdemocratie </w:t>
      </w:r>
      <w:r>
        <w:rPr>
          <w:rFonts w:hint="cs"/>
        </w:rPr>
        <w:t>—</w:t>
      </w:r>
      <w:r>
        <w:t xml:space="preserve"> het verbod op kritiek en de volledige afwijzing van zelfkritiek, de versterking van het centralisme ten koste van de democratie, op het opblazen van de partijgelederen met kleinburgerlijke, burgerlijke elementen, op de selectie van leidinggevend personeel dat gehoorzaam is aan het Centraal Comit</w:t>
      </w:r>
      <w:r>
        <w:rPr>
          <w:rFonts w:hint="cs"/>
        </w:rPr>
        <w:t>é</w:t>
      </w:r>
      <w:r>
        <w:t xml:space="preserve">; </w:t>
      </w:r>
    </w:p>
    <w:p w14:paraId="16B14845" w14:textId="77777777" w:rsidR="00437968" w:rsidRDefault="00437968" w:rsidP="00437968">
      <w:r>
        <w:rPr>
          <w:rFonts w:hint="cs"/>
        </w:rPr>
        <w:t>—</w:t>
      </w:r>
      <w:r>
        <w:t xml:space="preserve"> in de ideologie: op de vervanging van het marxisme-leninisme door revisionisme in de vorm van het minderanisme, de geleidelijke vervanging van het materialisme door idealisme, en van de dialectiek door metafysica; en op het gebied van het massabewustzijn werden actief burgerlijke methoden toegepast om het massabewustzijn van de Sovjetbevolking te manipuleren, die zich ten volle manifesteerden in de "perestrojka"; </w:t>
      </w:r>
    </w:p>
    <w:p w14:paraId="2A2E462D" w14:textId="77777777" w:rsidR="00437968" w:rsidRDefault="00437968" w:rsidP="00437968">
      <w:r>
        <w:rPr>
          <w:rFonts w:hint="cs"/>
        </w:rPr>
        <w:t>—</w:t>
      </w:r>
      <w:r>
        <w:t xml:space="preserve"> in de wereldwijde communistische beweging: de volledige vernietiging van communistische en arbeiderspartijen door er idee</w:t>
      </w:r>
      <w:r>
        <w:rPr>
          <w:rFonts w:hint="cs"/>
        </w:rPr>
        <w:t>ë</w:t>
      </w:r>
      <w:r>
        <w:t xml:space="preserve">n van revisionisme en reformisme te propageren, met als doel de wereldwijde arbeidersbeweging te onderwerpen aan de belangen van de bourgeoisie. </w:t>
      </w:r>
    </w:p>
    <w:p w14:paraId="4C46EE49" w14:textId="77777777" w:rsidR="00437968" w:rsidRDefault="00437968" w:rsidP="00437968">
      <w:r>
        <w:t>Tegelijkertijd bleven de sociale sfeer in de USSR, net als de economie, zich socialistisch ontwikkelen, hoewel het tempo van die ontwikkeling vertraagde in vergelijking met de vijfjarenplannen van Stalin, omdat er geen priv</w:t>
      </w:r>
      <w:r>
        <w:rPr>
          <w:rFonts w:hint="cs"/>
        </w:rPr>
        <w:t>é</w:t>
      </w:r>
      <w:r>
        <w:t>-eigendom van de productiemiddelen bestond. De omvang en kwaliteit van de door de industrie en de landbouw geproduceerde goederen namen voortdurend toe, en het assortiment breidde zich uit. De sociale voorzieningen voor de Sovjetarbeiders, die hun door de staat werden verstrekt, namen voortdurend toe, wat hun desori</w:t>
      </w:r>
      <w:r>
        <w:rPr>
          <w:rFonts w:hint="cs"/>
        </w:rPr>
        <w:t>ë</w:t>
      </w:r>
      <w:r>
        <w:t xml:space="preserve">ntatie versterkte. Het ontbreken van de nodige politieke kennis, met name de leer van I. V. Stalin over de toenemende klassenstrijd in een </w:t>
      </w:r>
      <w:r>
        <w:lastRenderedPageBreak/>
        <w:t xml:space="preserve">kapitalistische omgeving, stond de Sovjetarbeidersklasse echter niet toe te begrijpen dat de leidende lijn van de partij niet langer bolsjewistisch was. </w:t>
      </w:r>
    </w:p>
    <w:p w14:paraId="58303A5D" w14:textId="77777777" w:rsidR="00437968" w:rsidRDefault="00437968" w:rsidP="00437968">
      <w:r>
        <w:t xml:space="preserve">Tegelijkertijd verscherpten de niet-antagonistische tegenstellingen in de economie, aangezien de groei van de productiekrachten van het Sovjetland werd belemmerd door kunstmatig in stand gehouden verouderde productieverhoudingen, in de eerste plaats vreemde marktelementen die de tegenstelling tussen de twee vormen van socialistisch eigendom </w:t>
      </w:r>
      <w:r>
        <w:rPr>
          <w:rFonts w:hint="cs"/>
        </w:rPr>
        <w:t>–</w:t>
      </w:r>
      <w:r>
        <w:t xml:space="preserve"> staats- en kolchoz-co</w:t>
      </w:r>
      <w:r>
        <w:rPr>
          <w:rFonts w:hint="cs"/>
        </w:rPr>
        <w:t>ö</w:t>
      </w:r>
      <w:r>
        <w:t xml:space="preserve">peratief </w:t>
      </w:r>
      <w:r>
        <w:rPr>
          <w:rFonts w:hint="cs"/>
        </w:rPr>
        <w:t>–</w:t>
      </w:r>
      <w:r>
        <w:t xml:space="preserve"> verdiepten. </w:t>
      </w:r>
    </w:p>
    <w:p w14:paraId="4D3BE570" w14:textId="77777777" w:rsidR="00437968" w:rsidRDefault="00437968" w:rsidP="00437968">
      <w:r>
        <w:t xml:space="preserve">Tegen het begin van de jaren 80 vereisten een nieuwe wereldwijde economische crisis en een nieuwe herverdeling van de wereld tussen de imperialistische mogendheden van de contrarevolutionaire krachten binnen de USSR, die tegen die tijd door middel van corruptie en boekhoudkundige manipulaties een kolossaal persoonlijk kapitaal hadden opgebouwd dat gelegaliseerd moest worden, over te gaan tot een openlijke afbraak van de socialistische productiewijze in de Sovjet-Unie, aangezien het niet gelukt was het Sovjet-socialisme met geleidelijke, verborgen hervormingen om zeep te helpen </w:t>
      </w:r>
      <w:r>
        <w:rPr>
          <w:rFonts w:hint="cs"/>
        </w:rPr>
        <w:t>—</w:t>
      </w:r>
      <w:r>
        <w:t xml:space="preserve"> de rechts-trotskisten konden de ontwikkeling ervan slechts afremmen. De "perestrojka" begon, die eindigde in de restauratie van het kapitalisme in het land. Een direct gevolg hiervan was de opsplitsing van het land in verschillende nationale burgerlijke staten </w:t>
      </w:r>
      <w:r>
        <w:rPr>
          <w:rFonts w:hint="cs"/>
        </w:rPr>
        <w:t>—</w:t>
      </w:r>
      <w:r>
        <w:t xml:space="preserve"> de voormalige Sovjetrepublieken. </w:t>
      </w:r>
    </w:p>
    <w:p w14:paraId="0342CA3D" w14:textId="0DDDE9DC" w:rsidR="00A13ADC" w:rsidRDefault="00437968" w:rsidP="00437968">
      <w:r>
        <w:t xml:space="preserve">Het proces om het Sovjet-socialisme voor te bereiden op vernietiging nam dus bijna 30 jaar in beslag. Zoveel tijd had de contrarevolutie nodig om de Sovjet-arbeidersklasse volledig te ontwapenen en haar onbekwaam te maken om weerstand te bieden aan haar klassenvijand </w:t>
      </w:r>
      <w:r>
        <w:rPr>
          <w:rFonts w:hint="cs"/>
        </w:rPr>
        <w:t>—</w:t>
      </w:r>
      <w:r>
        <w:t xml:space="preserve"> de wereldbourgeoisie.</w:t>
      </w:r>
    </w:p>
    <w:p w14:paraId="226EE575" w14:textId="474A1F39" w:rsidR="00437968" w:rsidRDefault="00437968" w:rsidP="00437968">
      <w:r>
        <w:rPr>
          <w:noProof/>
        </w:rPr>
        <w:lastRenderedPageBreak/>
        <w:drawing>
          <wp:inline distT="0" distB="0" distL="0" distR="0" wp14:anchorId="31818F90" wp14:editId="0C3779D9">
            <wp:extent cx="4870450" cy="5143500"/>
            <wp:effectExtent l="0" t="0" r="6350" b="0"/>
            <wp:docPr id="1561253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0450" cy="5143500"/>
                    </a:xfrm>
                    <a:prstGeom prst="rect">
                      <a:avLst/>
                    </a:prstGeom>
                    <a:noFill/>
                    <a:ln>
                      <a:noFill/>
                    </a:ln>
                  </pic:spPr>
                </pic:pic>
              </a:graphicData>
            </a:graphic>
          </wp:inline>
        </w:drawing>
      </w:r>
    </w:p>
    <w:sectPr w:rsidR="00437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68"/>
    <w:rsid w:val="00437968"/>
    <w:rsid w:val="00670D3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8530"/>
  <w15:chartTrackingRefBased/>
  <w15:docId w15:val="{2D27D870-1AED-4500-9AA0-5726982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79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79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79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9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9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9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9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9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9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9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9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9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9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9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9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968"/>
    <w:rPr>
      <w:rFonts w:eastAsiaTheme="majorEastAsia" w:cstheme="majorBidi"/>
      <w:color w:val="272727" w:themeColor="text1" w:themeTint="D8"/>
    </w:rPr>
  </w:style>
  <w:style w:type="paragraph" w:styleId="Titel">
    <w:name w:val="Title"/>
    <w:basedOn w:val="Standaard"/>
    <w:next w:val="Standaard"/>
    <w:link w:val="TitelChar"/>
    <w:uiPriority w:val="10"/>
    <w:qFormat/>
    <w:rsid w:val="0043796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9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9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9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9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968"/>
    <w:rPr>
      <w:i/>
      <w:iCs/>
      <w:color w:val="404040" w:themeColor="text1" w:themeTint="BF"/>
    </w:rPr>
  </w:style>
  <w:style w:type="paragraph" w:styleId="Lijstalinea">
    <w:name w:val="List Paragraph"/>
    <w:basedOn w:val="Standaard"/>
    <w:uiPriority w:val="34"/>
    <w:qFormat/>
    <w:rsid w:val="00437968"/>
    <w:pPr>
      <w:ind w:left="720"/>
      <w:contextualSpacing/>
    </w:pPr>
  </w:style>
  <w:style w:type="character" w:styleId="Intensievebenadrukking">
    <w:name w:val="Intense Emphasis"/>
    <w:basedOn w:val="Standaardalinea-lettertype"/>
    <w:uiPriority w:val="21"/>
    <w:qFormat/>
    <w:rsid w:val="00437968"/>
    <w:rPr>
      <w:i/>
      <w:iCs/>
      <w:color w:val="0F4761" w:themeColor="accent1" w:themeShade="BF"/>
    </w:rPr>
  </w:style>
  <w:style w:type="paragraph" w:styleId="Duidelijkcitaat">
    <w:name w:val="Intense Quote"/>
    <w:basedOn w:val="Standaard"/>
    <w:next w:val="Standaard"/>
    <w:link w:val="DuidelijkcitaatChar"/>
    <w:uiPriority w:val="30"/>
    <w:qFormat/>
    <w:rsid w:val="0043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968"/>
    <w:rPr>
      <w:i/>
      <w:iCs/>
      <w:color w:val="0F4761" w:themeColor="accent1" w:themeShade="BF"/>
    </w:rPr>
  </w:style>
  <w:style w:type="character" w:styleId="Intensieveverwijzing">
    <w:name w:val="Intense Reference"/>
    <w:basedOn w:val="Standaardalinea-lettertype"/>
    <w:uiPriority w:val="32"/>
    <w:qFormat/>
    <w:rsid w:val="00437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4943</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2026-05-21T18:47:00Z</dcterms:created>
  <dcterms:modified xsi:type="dcterms:W3CDTF">2026-05-21T18:48:00Z</dcterms:modified>
</cp:coreProperties>
</file>