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8030" w14:textId="77777777" w:rsidR="00E17215" w:rsidRDefault="00E17215" w:rsidP="00E17215">
      <w:r>
        <w:t>Op 8 oktober 1944 vaardigde de NKVD van de USSR een bevel uit om OUN-bendes in West-Oekraïne uit te schakelen - “Over maatregelen ter bestrijding van de OUN-ondergrondse en het uitschakelen van gewapende OUN-bendes in de westelijke regio's van de USSR”.</w:t>
      </w:r>
    </w:p>
    <w:p w14:paraId="423B6ECE" w14:textId="77777777" w:rsidR="00E17215" w:rsidRDefault="00E17215" w:rsidP="00E17215">
      <w:r>
        <w:t>De eerste ernstige confrontaties tussen het Rode Leger en SMERSH-detachementen met de OUN-UPA begonnen in het voorjaar en de zomer van 1944. Toen West-Oekraïne werd bevrijd van de Duitse bezetters, voelden de militaire formaties van de nationalisten zich hier volwaardige meesters, waardoor de lokale bossen er gewoonweg wemelden van. De oude macht was verdwenen, de nieuwe had nog geen tijd gehad om wortel te schieten. En Bandera begon alles in het werk te stellen om de “sovjets” te ontmoedigen om terug te keren naar een “onafhankelijk Oekraïne”. Toegegeven, ze boden hevig verzet. Wat was de UPA dan?</w:t>
      </w:r>
    </w:p>
    <w:p w14:paraId="7D16A59B" w14:textId="77777777" w:rsidR="00E17215" w:rsidRDefault="00E17215" w:rsidP="00E17215">
      <w:r>
        <w:t>De ruggengraat ervan werd gevormd door de legionairs van de in 1942 ontbonden bataljons Nachtigal en Roland en de in 1944 verslagen SS-divisie Galicië. Veel strijders waren opgeleid in de Abwehr-kampen in Duitsland. Geografisch was het rebellenleger verdeeld in drie groepen: “Noord”, ‘West’ en “Zuid”. Elke groep bestond uit 3-4 kurens. Eén kuren telde driehonderd man. Een honderd werd op zijn beurt gevormd uit 3-4 chots (pelotons). En de primaire formatie was een zwerm, bestaande uit 10-12 personen. Over het algemeen een bizarre en verschrikkelijke mengeling van de Abwehr met de Kozakken en de partizanenbeweging.</w:t>
      </w:r>
    </w:p>
    <w:p w14:paraId="68DC242A" w14:textId="77777777" w:rsidR="00E17215" w:rsidRDefault="00E17215" w:rsidP="00E17215">
      <w:r>
        <w:t>Volgens verschillende schattingen varieerde het aantal UPA-strijders van 25 tot 100 duizend. Ze waren bewapend met zowel Duitse als Sovjetwapens. Het rebellenleger had ook een eigen veiligheidsdienst, die zich bezighield met inlichtingenwerk en strafmaatregelen uitvoerde.</w:t>
      </w:r>
    </w:p>
    <w:p w14:paraId="60645F02" w14:textId="77777777" w:rsidR="00E17215" w:rsidRDefault="00E17215" w:rsidP="00E17215">
      <w:r>
        <w:t>Vliegtuig in een schuilplaats</w:t>
      </w:r>
    </w:p>
    <w:p w14:paraId="059DC452" w14:textId="77777777" w:rsidR="00E17215" w:rsidRDefault="00E17215" w:rsidP="00E17215">
      <w:r>
        <w:t>De Sovjet-troepen hadden dus helemaal niet te maken met ongelijksoortige bendes, maar met een krachtige militaire organisatie met een rigide structuur. De UPA handelde moedig en zelfverzekerd, vooral in het bosgebied. Hier zijn de getuigenissen die te lezen zijn in de documentenverzameling “Interne troepen in de Grote Patriottische Oorlog 1941-1945”:</w:t>
      </w:r>
    </w:p>
    <w:p w14:paraId="1081232E" w14:textId="77777777" w:rsidR="00E17215" w:rsidRDefault="00E17215" w:rsidP="00E17215">
      <w:r>
        <w:t>"Aanvankelijk daagden de grote bendes van de UPA ons zelf uit. Ze hadden zich van tevoren versterkt op gunstige posities en dwongen ons tot een gevecht. In de bossen op het Kremenets-plateau creëerden de bandieten een systeem van verdedigingswerken: loopgraven, schuilplaatsen, blokkades, enz. Als gevolg van de succesvolle afronding van de operatie werden veel wapens en munitie buitgemaakt, waaronder twee depots met Duitse granaten en mijnen, en zelfs een bruikbaar U-2-vliegtuig. Er werden veel voedsel- en kledingdepots gevonden. Samen met de UPA-bandieten werden 65 Duitse militairen gevangengenomen.</w:t>
      </w:r>
    </w:p>
    <w:p w14:paraId="452F67B0" w14:textId="77777777" w:rsidR="00E17215" w:rsidRDefault="00E17215" w:rsidP="00E17215">
      <w:r>
        <w:t>En toch werd de vijand aanvankelijk duidelijk onderschat. Een levendig voorbeeld hiervan is de aanval van Bandera op het konvooi dat de commandant van het 1e Oekraïense Front, Nikolai Vatutin, begeleidde. Als gevolg van een ernstige verwonding stierf de generaal. Dit flagrante incident zorgde ervoor dat het leger en de speciale diensten nog actiever tegen de UPA gingen vechten. Als gevolg daarvan hadden de staatsveiligheidsdiensten, de NKVD-troepen, in het voorjaar van 1945 alle grote bendes van 300 of meer mensen verslagen. Volgens de afdeling voor de bestrijding van banditisme van de NKVD van Oekraïne werden in 1944 57.405 bendeleden gedood en 50.387 gearresteerd.</w:t>
      </w:r>
    </w:p>
    <w:p w14:paraId="46A9ABD2" w14:textId="77777777" w:rsidR="00E17215" w:rsidRDefault="00E17215" w:rsidP="00E17215">
      <w:r>
        <w:t>Wachten op de “plaag”</w:t>
      </w:r>
    </w:p>
    <w:p w14:paraId="76316BCE" w14:textId="77777777" w:rsidR="00E17215" w:rsidRDefault="00E17215" w:rsidP="00E17215">
      <w:r>
        <w:t>De tweede en misschien wel moeilijkste fase van de strijd tegen de OPA stond voor de deur. Bandera veranderde van tactiek: van openlijke confrontatie gingen ze over op terreur en sabotage. Degenen die de vernietiging van de kuren en honderden anderen hadden overleefd, werden gereorganiseerd in meer wendbare gewapende groepen van 8-12 personen. De leiding, die zich in het buitenland bevond, gaf de ondergrondse de instructie om tijd te winnen en krachten te sparen tot het begin van de “Pest”. Onder deze naam werd het begin van het gewapende conflict tussen de westerse landen en de USSR in de documenten van de OUN gecodeerd. Volgens sommige rapporten wakkerden de geheime diensten van de Verenigde Staten en Groot-Brittannië de hoop op een spoedige oorlog met de “sovjets” aan. Van tijd tot tijd lieten ze hun afgezanten, munitie, geld en speciale uitrusting vanuit de lucht in de bossen van West-Oekraïne vallen.</w:t>
      </w:r>
    </w:p>
    <w:p w14:paraId="6101B9D7" w14:textId="77777777" w:rsidR="00E17215" w:rsidRDefault="00E17215" w:rsidP="00E17215">
      <w:r>
        <w:t>Met delen van het Rode Leger wilde de OUN-UPA nu liever niet in aanraking komen. De klap werd overgebracht op de administratie en degenen die sympathiseerden met het Sovjetregime. Tot hun aantal behoorden in de regel leraren, artsen, ingenieurs, agronomen en machinebedieners. De “loyale” Oekraïners werden zeer wreed behandeld - ze werden door hun families vermoord en vaak gemarteld. Op de borst van sommige doden werd een briefje achtergelaten met de tekst “Voor medeplichtigheid aan de NKVD”.</w:t>
      </w:r>
    </w:p>
    <w:p w14:paraId="1A435EA0" w14:textId="77777777" w:rsidR="00E17215" w:rsidRDefault="00E17215" w:rsidP="00E17215">
      <w:r>
        <w:t xml:space="preserve"> Een aanzienlijk deel van de plattelandsbevolking steunde echter de “jongens uit het bos”. Sommigen zagen hen echt als helden, strijders voor een onafhankelijk Oekraïne, anderen waren gewoon bang. Ze voorzagen Bandera van voedsel en lieten hen blijven. De militanten betaalden voor voedsel met “karbovans” uit het gevechtsfonds (BF). Staatsveiligheidsfunctionarissen noemden hen “bifons”. Zoals Georgy Sannikov, een veteraan van het ministerie van Binnenlandse Zaken, het ministerie van Staatsveiligheid en de KGB, zich herinnert in zijn boek “The Great Hunt. The Defeat of the UPA”, werd dit geld op typografische wijze gedrukt. Op de bankbiljetten stond een rebel afgebeeld met een machinegeweer in zijn hand, die opriep tot de omverwerping van het Sovjetregime. Bandera beloofde de dorpelingen dat ze, zodra ze aan de macht kwamen, deze zouden inwisselen voor echt geld.</w:t>
      </w:r>
    </w:p>
    <w:p w14:paraId="2591DAB9" w14:textId="77777777" w:rsidR="00E17215" w:rsidRDefault="00E17215" w:rsidP="00E17215">
      <w:r>
        <w:t>Het is duidelijk dat veel burgers en OUN-leden familiebanden hadden. Om de OUN-UPA van hun materiële basis te beroven, waren de autoriteiten genoodzaakt harde maatregelen te nemen. Een deel van de familieleden van Bandera werd hervestigd in andere regio's van het land en actieve medeplichtigen werden naar een speciale nederzetting in Siberië gestuurd.</w:t>
      </w:r>
    </w:p>
    <w:p w14:paraId="6780A054" w14:textId="77777777" w:rsidR="00E17215" w:rsidRDefault="00E17215" w:rsidP="00E17215">
      <w:r>
        <w:t>Er waren echter nogal wat mensen die, met wapens in de hand, bereid waren om zich tegen Bandera te verzetten. Uit hen werden gevechtseenheden gevormd, die door de lokale bevolking “haviken” werden genoemd. Zij verleenden de autoriteiten serieuze hulp in de strijd tegen de ondergrondse.</w:t>
      </w:r>
    </w:p>
    <w:p w14:paraId="4C93AE67" w14:textId="77777777" w:rsidR="00E17215" w:rsidRDefault="00E17215" w:rsidP="00E17215">
      <w:r>
        <w:t>Bandera “onzichtbaar”</w:t>
      </w:r>
    </w:p>
    <w:p w14:paraId="589670DF" w14:textId="77777777" w:rsidR="00E17215" w:rsidRDefault="00E17215" w:rsidP="00E17215">
      <w:r>
        <w:t>Samenzwering speelde de belangrijkste rol voor de OUN-UPA. Bij hun activiteiten maakte Bandera gebruik van de ervaring van het Ierse Republikeinse Leger en zelfs van de bolsjewistische revolutionairen die zij haatten. Alle leden van de gevechtseenheden hadden pseudoniemen die regelmatig werden gewijzigd. De communicatie tussen de bandietenformaties verliep via geverifieerde boodschappers. In de regel kenden de strijdmakkers uit verschillende cellen elkaar niet van gezicht. Bevelen en rapporten werden doorgegeven via “grips” - miniatuurbriefjes die met potlood op tissuepapier waren geschreven. Ze werden opgerold, met draad aan elkaar genaaid en verzegeld met kaarsvet. Ze lieten ze achter op een afgesproken plek. Dit hele ingenieuze systeem maakte het natuurlijk moeilijk om bendes op te sporen, maar het pakte “zijdelings” uit voor de ondergrondse werkers zelf. In het geval van de nederlaag van een zwerm of chot en de dood van de “ziener” (leider), konden de overlevenden geen contact opnemen met hun strijdmakkers. Daarom zwierven honderden Bandera-singles rond in de bossen.</w:t>
      </w:r>
    </w:p>
    <w:p w14:paraId="1E74F17B" w14:textId="77777777" w:rsidR="00E17215" w:rsidRDefault="00E17215" w:rsidP="00E17215">
      <w:r>
        <w:t>Maar de belangrijkste knowhow van de OUN UPA waren ondergrondse schuilplaatsen (“kryivki”). Zoals een van de instructies van Bandera luidde: "... elke ondergrondse werker moet de regels van de samenzwering kennen, zoals een soldaat het reglement van de velddienst kent. Een ondergrondse werker moet ondergronds leven.“ Het systeem van geheime schuilplaatsen werd al in 1944 opgezet in afwachting van de komst van de Sovjet-troepen, en tegen de jaren 1950 had het zich over heel West-Oekraïne ”verspreid". Er waren verschillende soorten schuilplaatsen: magazijnen, radiocommunicatiepunten, drukkerijen en barakken. Ze waren gebouwd volgens het principe van schuilplaatsen, met dit verschil dat de ingang was gecamoufleerd. In de regel diende een boomstronk of een kist met aarde als “deur” naar de schuilplaatsen, waarin een jonge boom werd geplant. De ventilatie vond plaats via de bomen. Om een ondergrondse bunker te creëren op het grondgebied van een dorp of gehucht, moesten de militanten vindingrijker zijn. Ze vermomden de ingang van de schuilplaats als afvalhopen, hooibergen, hondenhokken en zelfs graven. Soms liep het pad naar de schuilplaats door een actieve put. Een van de veteranen van de MGB en KGB beschrijft de geavanceerde schuilplaats in het boek “SMERSH tegen Bandera. De oorlog na de oorlog” als volgt: er werd een gecamoufleerde deur gemaakt in de schacht vanaf de kroon van de put. Daarachter bevond zich een gang met twee vermomde bunkerruimtes. De ene was bedoeld voor de radio-operator, leden van het detachement en de eetzaal. De andere was voor het leiderschap en vergaderingen. deur. Een vertrouwde dorpsgenoot liet de Bandera-mensen naar beneden.</w:t>
      </w:r>
    </w:p>
    <w:p w14:paraId="0760C6B1" w14:textId="77777777" w:rsidR="00E17215" w:rsidRDefault="00E17215" w:rsidP="00E17215">
      <w:r>
        <w:t>Met een dergelijk systeem van schuilplaatsen werden de OUN UPA-strijders praktisch “onzichtbaar”. Het leek alsof hij de vijand in het bos of in het dorp omsingelde - en plotseling verdween hij, verdampte hij.</w:t>
      </w:r>
    </w:p>
    <w:p w14:paraId="26B320F6" w14:textId="77777777" w:rsidR="00E17215" w:rsidRDefault="00E17215" w:rsidP="00E17215">
      <w:r>
        <w:t>Haal het uit de grond</w:t>
      </w:r>
    </w:p>
    <w:p w14:paraId="41043ABC" w14:textId="77777777" w:rsidR="00E17215" w:rsidRDefault="00E17215" w:rsidP="00E17215">
      <w:r>
        <w:t>In het begin was het voor Sovjet-inlichtingenofficieren niet gemakkelijk om schuilplaatsen te identificeren. Maar na verloop van tijd leerden ze de vijand letterlijk uit de grond te halen.</w:t>
      </w:r>
    </w:p>
    <w:p w14:paraId="5A4E0F11" w14:textId="77777777" w:rsidR="00E17215" w:rsidRDefault="00E17215" w:rsidP="00E17215">
      <w:r>
        <w:t>Tijdens grootschalige invallen zochten soldaten naar hen met behulp van twee meter lange sondes en diensthonden. In de winter, bij zonsopgang of zonsondergang, kon je een ondergrondse schuilplaats vinden door een nauwelijks waarneembare luchtstroom, die in de kou fluctueerde.</w:t>
      </w:r>
    </w:p>
    <w:p w14:paraId="7FA4F808" w14:textId="77777777" w:rsidR="00E17215" w:rsidRDefault="00E17215" w:rsidP="00E17215">
      <w:r>
        <w:t>Het was buitengewoon moeilijk om Bandera levend in de bunker te vangen. Ze gingen ofwel een voor hen opzettelijk dodelijk vuurgevecht aan, of pleegden zelfmoord. De beslissing tot zelfliquidatie werd alleen door het hoofd van de groep genomen. De militanten stonden met hun gezicht naar de muur en de commandant doodde hen een voor een met een schot in het achterhoofd. Daarna schoot hij zichzelf dood.</w:t>
      </w:r>
    </w:p>
    <w:p w14:paraId="76CC4A95" w14:textId="77777777" w:rsidR="00E17215" w:rsidRDefault="00E17215" w:rsidP="00E17215">
      <w:r>
        <w:t>Om een dergelijke uitkomst te voorkomen, werden de schuilplaatsen met gasgranaten bestookt. Later, bij het bestormen van de bunkers, begonnen ze een speciaal medicijn te gebruiken, “Typhoon” - een instant slaappil zonder bijwerkingen. Het was speciaal voor dergelijke operaties in Moskou ontwikkeld. Het werd via de ventilatieopening ingebracht vanuit kleine handbediende cilinders met een dunne flexibele slang.</w:t>
      </w:r>
    </w:p>
    <w:p w14:paraId="165623C0" w14:textId="77777777" w:rsidR="00E17215" w:rsidRDefault="00E17215" w:rsidP="00E17215">
      <w:r>
        <w:t>Borsjt met “Neptune”</w:t>
      </w:r>
    </w:p>
    <w:p w14:paraId="01A64CB4" w14:textId="77777777" w:rsidR="00E17215" w:rsidRDefault="00E17215" w:rsidP="00E17215">
      <w:r>
        <w:t>Ondanks het belang van dergelijke operaties was het zoeken naar en bestormen van bunkers echter geen prioritaire taak voor de speciale diensten. De belangrijkste doelstelling bleef het infiltreren van hun mensen in de nationalistische ondergrondse, het rekruteren van agenten en het uitoefenen van ideologische invloed op de vijand. Het was niet het soort oorlog dat werd gevoerd, waarbij alles wordt bepaald door de kracht van wapens en numerieke superioriteit. De vijand was geheimzinnig, verraderlijk en vindingrijk. Dit vereiste niet-standaard methoden van strijd van de speciale diensten. En de tijd werkte in hun voordeel. De mensen waren moe van een langdurige burgeroorlog, van de voortdurende angst voor zichzelf en hun dierbaren. Het was niet langer mogelijk om de “jongens uit het bos” voor altijd te beschermen. Ja, en veel militanten, fysiek en psychologisch uitgeput, wilden terugkeren uit het bos naar hun geboortedorpen, maar ze waren bang voor represailles van de veiligheidsdienst van de OUN-UPA. Onder dergelijke omstandigheden begint de MGB massaal agenten te rekruteren onder gewone burgers en medeplichtigen van de OUN-UPA.</w:t>
      </w:r>
    </w:p>
    <w:p w14:paraId="63D94199" w14:textId="77777777" w:rsidR="00E17215" w:rsidRDefault="00E17215" w:rsidP="00E17215">
      <w:r>
        <w:t>Het doel was dit: elke hut, waar de Bandera-mensen tot voor kort onbevreesd naar de wacht keken, in een valstrik veranderen. Maar hoe konden de eigenaren van het huis, en in de naoorlogse periode waren dat meestal ouderen of alleenstaande vrouwen, het hoofd bieden aan een groep doorgewinterde militanten? Ten eerste werd in hun huizen een draagbaar “alarm”-apparaat geïnstalleerd, dat werkte op oplaadbare batterijen. Zodra de “gasten” uit het bos op de drempel verschenen, drukte de eigenaar onmerkbaar op de knop en stuurde een radiosignaal naar de regionale afdeling van het ministerie van Binnenlandse Zaken. En dan was het de beurt aan het chemische preparaat “Neptune-47”, dat in de speciale laboratoria van de KGB was ontwikkeld. Deze psychotrope stof kon aan verschillende soorten vloeistoffen worden toegevoegd: wodka, water, melk, borsjt. Overigens hadden de agenten “sluwe” flessen in Duitse stijl, gemaakt in de operationele en technische afdeling van het Ministerie van Binnenlandse Zaken van Oekraïne. Daarin waren twee knoppen ingebouwd. De ene diende als veiligheidsvoorziening tegen het binnendringen van de inhoud van de Neputna-47-fles. Dat wil zeggen dat hij, in gezelschap van de “jongens”, wodka uit één container kon drinken zonder zichzelf schade te berokkenen. Mensen die dit ‘drankje’ innamen, begonnen na 7-8 minuten te “zwemmen”: hun geest werd wazig, hun bewegingen werden traag, ze konden zelfs de sluiter niet meer overhalen of de trekker overhalen. En vijf minuten later sliepen ze diep. De zware, uitputtende slaap met hallucinaties duurde 1,5-3 uur.</w:t>
      </w:r>
    </w:p>
    <w:p w14:paraId="20B66ADE" w14:textId="77777777" w:rsidR="00E17215" w:rsidRDefault="00E17215" w:rsidP="00E17215">
      <w:r>
        <w:t>Nadat de Bandera-mensen in slaap waren gevallen, kwamen politieagenten en speciale diensten de hut binnen. “Neptune-47” had nog een onaangename bijwerking voor de “OUN”. Na enige tijd wakker te zijn geworden, is een persoon niet in staat zijn handelingen te beheersen en beantwoordt hij gewillig alle vragen.</w:t>
      </w:r>
    </w:p>
    <w:p w14:paraId="112E9540" w14:textId="77777777" w:rsidR="00E17215" w:rsidRDefault="00E17215" w:rsidP="00E17215">
      <w:r>
        <w:t>Zoals Georgiy Sannikov, de auteur van het boek “The Great Hunt. The Defeat of the UPA”, ironisch opmerkt: “Het gebruik van dit medicijn was het strengste staatsgeheim. De hele bevolking van West-Oekraïne, inclusief kinderen, wist er echter van.” De mensen noemden het ‘otruta’, wat in het Oekraïens “gif” betekent.</w:t>
      </w:r>
    </w:p>
    <w:p w14:paraId="4320807B" w14:textId="77777777" w:rsidR="00E17215" w:rsidRDefault="00E17215" w:rsidP="00E17215">
      <w:r>
        <w:t>De gerekruteerde agenten waren gewapend met een ander medicijn: Neptune-80. Ze bevochtigden het tapijt op de drempel van het huis. Als een militant die in de hut is geweest zijn voeten erop afveegt, zullen de honden hem binnen een paar dagen gemakkelijk op het spoor vinden in het bos, wat betekent dat ze een schuilplaats met de hele bende zullen vinden.</w:t>
      </w:r>
    </w:p>
    <w:p w14:paraId="50EDCC6B" w14:textId="77777777" w:rsidR="00E17215" w:rsidRDefault="00E17215" w:rsidP="00E17215">
      <w:r>
        <w:t>gejaagde dieren</w:t>
      </w:r>
    </w:p>
    <w:p w14:paraId="4DC807A0" w14:textId="77777777" w:rsidR="00E17215" w:rsidRDefault="00E17215" w:rsidP="00E17215">
      <w:r>
        <w:t>Legendarische bandietenformaties speelden een belangrijke rol bij het identificeren van Bandera. Dit zijn groepen van de meest ervaren medewerkers van de MGB, die vloeiend het Galicische dialect van de Oekraïense taal spraken en de OUN-UPA-detachementen imiteerden. Vaak waren daar ook voormalige militanten bij die waren overgelopen naar de kant van de Sovjetautoriteiten. Ze gingen het bos in, leefden in dezelfde ondergrondse bunkers en probeerden contact te leggen met echte ondergrondse werkers.</w:t>
      </w:r>
    </w:p>
    <w:p w14:paraId="0DD96E67" w14:textId="77777777" w:rsidR="00E17215" w:rsidRDefault="00E17215" w:rsidP="00E17215">
      <w:r>
        <w:t>Hiervoor werden ook “grips” gebruikt, die vakkundig waren “herschreven” door ambachtslieden van de MGB. Het handschrift van de auteur werd gekopieerd, de essentie van de brief bleef behouden, maar de tijd en plaats van de ontmoeting werden gewijzigd. En er waren gevallen waarin ‘grips’ werden gevuld met explosieven - dergelijke berichten werden “verrassingen” genoemd. Het is duidelijk dat de geadresseerde die het pakket opende, omkwam.</w:t>
      </w:r>
    </w:p>
    <w:p w14:paraId="696D20C2" w14:textId="77777777" w:rsidR="00E17215" w:rsidRDefault="00E17215" w:rsidP="00E17215">
      <w:r>
        <w:t>Naarmate het inlichtingennetwerk groeide, kwamen de geheime diensten steeds dichter bij de leiding van de ondergrondse. Alleen door de OUN-UPA te onthoofden, was het immers mogelijk om eindelijk een einde te maken aan Bandera. In 1950 werd de ongrijpbare Roman Shukhevych, alias “Taras Chuprinka”, een korporaal-generaal en commandant van de UPA, in zijn schuilplaats vermoord. De dood van de naaste medewerker van Stepan Bandera betekende een zware klap voor de Organisatie van Oekraïense Nationalisten. Toen begon de langzame doodstrijd van het rebellenleger. Na de dood van Shukhevych werd het leiderschap van de UPA overgenomen door Vasily Kuk, pseudoniem Lemesh. Ook een zeer ervaren, gevaarlijke en voorzichtige vijand. Hij had een werkelijk beestachtig instinct voor gevaar en kwam praktisch nooit uit de bunkers, waar hij zijn gezondheid ernstig ondermijnde. De levensomstandigheden daar waren meer dan zwaar. Het kostte de MGB vier jaar om hem te vangen. Ironisch genoeg was de laatste ondergrondse schuilplaats van Vasily Cook een schuilplaats die speciaal voor hem was gecreëerd door staatsveiligheidsagenten. De generaal-cornet werd samen met zijn vrouw in een val gelokt door een bekeerde “OUN” Mykola genaamd Chumak, die hij volledig vertrouwde. Ze haalden de geharde Bandera op een nogal originele manier over om mee te werken. Hij, die al tien jaar niet meer uit de bossen was gekomen, kreeg een soort excursie door Oekraïne aangeboden. Mykola bezocht Kiev, Charkov en Odessa en was verbaasd over het bloeiende vaderland, dat geenszins onderdrukt werd door de Sovjetmacht.</w:t>
      </w:r>
    </w:p>
    <w:p w14:paraId="1A8EAD49" w14:textId="77777777" w:rsidR="00E17215" w:rsidRDefault="00E17215" w:rsidP="00E17215">
      <w:r>
        <w:t>In tegenstelling tot Chumak was het niet mogelijk om Vasyl Kuk te rekruteren, die fanatiek toegewijd was aan het idee van Oekraïens nationalisme. Niettemin stemde hij ermee in om de UPA-strijders op te roepen hun wapens neer te leggen, omdat hij begreep dat hun zaak gedoemd was te mislukken. De laatste leider van de ondergrondse stond op het punt te worden gefusilleerd, maar de autoriteiten spaarden niettemin zijn leven en lieten hem na een straf van zes jaar vrij. Ten eerste wilden ze hem niet tot een nieuwe martelaar voor de nationalisten maken, en ten tweede benadrukten ze de kracht en vrijgevigheid van de Sovjetstaat, die het zich kan veroorloven een ernstige vijand in leven te laten. Vasily Kuk woonde tot op hoge leeftijd in Kiev en stierf in 2007.</w:t>
      </w:r>
    </w:p>
    <w:p w14:paraId="6E9A9831" w14:textId="77777777" w:rsidR="00E17215" w:rsidRDefault="00E17215" w:rsidP="00E17215">
      <w:r>
        <w:t>P.S.</w:t>
      </w:r>
    </w:p>
    <w:p w14:paraId="685BF573" w14:textId="3BCD855D" w:rsidR="00E17215" w:rsidRDefault="00E17215" w:rsidP="00E17215">
      <w:r>
        <w:t>Tijdens de tien jaar durende strijd tegen de ondergrondse OUN van 1945 tot 1955 werden 25.000 militairen, medewerkers van staatsveiligheidsdiensten, politie en grenswachten, en 32.000 mensen uit de kring van Sovjetpartijactivisten gedood.</w:t>
      </w:r>
    </w:p>
    <w:p w14:paraId="419E4D22" w14:textId="2C5B5ED3" w:rsidR="00E30113" w:rsidRDefault="00E30113" w:rsidP="00E17215">
      <w:r>
        <w:rPr>
          <w:noProof/>
        </w:rPr>
        <w:drawing>
          <wp:inline distT="0" distB="0" distL="0" distR="0" wp14:anchorId="298F2D38" wp14:editId="5B8E20E3">
            <wp:extent cx="4794250" cy="2727268"/>
            <wp:effectExtent l="0" t="0" r="6350" b="0"/>
            <wp:docPr id="7046815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5265" cy="2739223"/>
                    </a:xfrm>
                    <a:prstGeom prst="rect">
                      <a:avLst/>
                    </a:prstGeom>
                    <a:noFill/>
                    <a:ln>
                      <a:noFill/>
                    </a:ln>
                  </pic:spPr>
                </pic:pic>
              </a:graphicData>
            </a:graphic>
          </wp:inline>
        </w:drawing>
      </w:r>
      <w:r>
        <w:rPr>
          <w:noProof/>
        </w:rPr>
        <w:drawing>
          <wp:inline distT="0" distB="0" distL="0" distR="0" wp14:anchorId="3F61F7EF" wp14:editId="5BD0BBB6">
            <wp:extent cx="4508500" cy="2720129"/>
            <wp:effectExtent l="0" t="0" r="6350" b="4445"/>
            <wp:docPr id="4496581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0005" cy="2727070"/>
                    </a:xfrm>
                    <a:prstGeom prst="rect">
                      <a:avLst/>
                    </a:prstGeom>
                    <a:noFill/>
                    <a:ln>
                      <a:noFill/>
                    </a:ln>
                  </pic:spPr>
                </pic:pic>
              </a:graphicData>
            </a:graphic>
          </wp:inline>
        </w:drawing>
      </w:r>
      <w:r>
        <w:rPr>
          <w:noProof/>
        </w:rPr>
        <w:drawing>
          <wp:inline distT="0" distB="0" distL="0" distR="0" wp14:anchorId="4CECEB02" wp14:editId="4DF67193">
            <wp:extent cx="4616450" cy="3135766"/>
            <wp:effectExtent l="0" t="0" r="0" b="7620"/>
            <wp:docPr id="102977094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3918" cy="3154424"/>
                    </a:xfrm>
                    <a:prstGeom prst="rect">
                      <a:avLst/>
                    </a:prstGeom>
                    <a:noFill/>
                    <a:ln>
                      <a:noFill/>
                    </a:ln>
                  </pic:spPr>
                </pic:pic>
              </a:graphicData>
            </a:graphic>
          </wp:inline>
        </w:drawing>
      </w:r>
      <w:r>
        <w:rPr>
          <w:noProof/>
        </w:rPr>
        <w:drawing>
          <wp:inline distT="0" distB="0" distL="0" distR="0" wp14:anchorId="31EB61DD" wp14:editId="40B93C40">
            <wp:extent cx="5715000" cy="3136900"/>
            <wp:effectExtent l="0" t="0" r="0" b="6350"/>
            <wp:docPr id="4205533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136900"/>
                    </a:xfrm>
                    <a:prstGeom prst="rect">
                      <a:avLst/>
                    </a:prstGeom>
                    <a:noFill/>
                    <a:ln>
                      <a:noFill/>
                    </a:ln>
                  </pic:spPr>
                </pic:pic>
              </a:graphicData>
            </a:graphic>
          </wp:inline>
        </w:drawing>
      </w:r>
      <w:r>
        <w:rPr>
          <w:noProof/>
        </w:rPr>
        <w:drawing>
          <wp:inline distT="0" distB="0" distL="0" distR="0" wp14:anchorId="37014CF8" wp14:editId="12AA2669">
            <wp:extent cx="5314273" cy="2736850"/>
            <wp:effectExtent l="0" t="0" r="1270" b="6350"/>
            <wp:docPr id="180790465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624" cy="2753511"/>
                    </a:xfrm>
                    <a:prstGeom prst="rect">
                      <a:avLst/>
                    </a:prstGeom>
                    <a:noFill/>
                    <a:ln>
                      <a:noFill/>
                    </a:ln>
                  </pic:spPr>
                </pic:pic>
              </a:graphicData>
            </a:graphic>
          </wp:inline>
        </w:drawing>
      </w:r>
    </w:p>
    <w:p w14:paraId="583E7E0E" w14:textId="77777777" w:rsidR="00E17215" w:rsidRDefault="00E17215" w:rsidP="00E17215"/>
    <w:sectPr w:rsidR="00E17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15"/>
    <w:rsid w:val="007D1CD8"/>
    <w:rsid w:val="00B32F0E"/>
    <w:rsid w:val="00E17215"/>
    <w:rsid w:val="00E30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36B7"/>
  <w15:chartTrackingRefBased/>
  <w15:docId w15:val="{B6B81C73-2B2C-450E-A072-604B1D52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7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7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7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7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7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7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7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7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7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7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7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7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7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7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7215"/>
    <w:rPr>
      <w:rFonts w:eastAsiaTheme="majorEastAsia" w:cstheme="majorBidi"/>
      <w:color w:val="272727" w:themeColor="text1" w:themeTint="D8"/>
    </w:rPr>
  </w:style>
  <w:style w:type="paragraph" w:styleId="Titel">
    <w:name w:val="Title"/>
    <w:basedOn w:val="Standaard"/>
    <w:next w:val="Standaard"/>
    <w:link w:val="TitelChar"/>
    <w:uiPriority w:val="10"/>
    <w:qFormat/>
    <w:rsid w:val="00E1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7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7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7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7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7215"/>
    <w:rPr>
      <w:i/>
      <w:iCs/>
      <w:color w:val="404040" w:themeColor="text1" w:themeTint="BF"/>
    </w:rPr>
  </w:style>
  <w:style w:type="paragraph" w:styleId="Lijstalinea">
    <w:name w:val="List Paragraph"/>
    <w:basedOn w:val="Standaard"/>
    <w:uiPriority w:val="34"/>
    <w:qFormat/>
    <w:rsid w:val="00E17215"/>
    <w:pPr>
      <w:ind w:left="720"/>
      <w:contextualSpacing/>
    </w:pPr>
  </w:style>
  <w:style w:type="character" w:styleId="Intensievebenadrukking">
    <w:name w:val="Intense Emphasis"/>
    <w:basedOn w:val="Standaardalinea-lettertype"/>
    <w:uiPriority w:val="21"/>
    <w:qFormat/>
    <w:rsid w:val="00E17215"/>
    <w:rPr>
      <w:i/>
      <w:iCs/>
      <w:color w:val="0F4761" w:themeColor="accent1" w:themeShade="BF"/>
    </w:rPr>
  </w:style>
  <w:style w:type="paragraph" w:styleId="Duidelijkcitaat">
    <w:name w:val="Intense Quote"/>
    <w:basedOn w:val="Standaard"/>
    <w:next w:val="Standaard"/>
    <w:link w:val="DuidelijkcitaatChar"/>
    <w:uiPriority w:val="30"/>
    <w:qFormat/>
    <w:rsid w:val="00E1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7215"/>
    <w:rPr>
      <w:i/>
      <w:iCs/>
      <w:color w:val="0F4761" w:themeColor="accent1" w:themeShade="BF"/>
    </w:rPr>
  </w:style>
  <w:style w:type="character" w:styleId="Intensieveverwijzing">
    <w:name w:val="Intense Reference"/>
    <w:basedOn w:val="Standaardalinea-lettertype"/>
    <w:uiPriority w:val="32"/>
    <w:qFormat/>
    <w:rsid w:val="00E17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2763</Words>
  <Characters>15202</Characters>
  <Application>Microsoft Office Word</Application>
  <DocSecurity>0</DocSecurity>
  <Lines>126</Lines>
  <Paragraphs>35</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2025-10-08T17:20:00Z</dcterms:created>
  <dcterms:modified xsi:type="dcterms:W3CDTF">2025-10-08T17:27:00Z</dcterms:modified>
</cp:coreProperties>
</file>