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8A1F3" w14:textId="77777777" w:rsidR="005D6523" w:rsidRDefault="005D6523" w:rsidP="005D6523">
      <w:r>
        <w:t>Russisch ministerie van Buitenlandse Zaken over tegenmaatregelen tegen het 17e en 18e sanctiepakket van de Europese Unie tegen Rusland</w:t>
      </w:r>
    </w:p>
    <w:p w14:paraId="7599B1D4" w14:textId="77777777" w:rsidR="005D6523" w:rsidRDefault="005D6523" w:rsidP="005D6523"/>
    <w:p w14:paraId="244807F4" w14:textId="77777777" w:rsidR="005D6523" w:rsidRDefault="005D6523" w:rsidP="005D6523">
      <w:r>
        <w:t xml:space="preserve">De Europese Unie blijft eenzijdige en in strijd met het internationaal recht zijnde beperkende maatregelen tegen Rusland opleggen, die de prerogatieven van de VN-Veiligheidsraad ondermijnen. Twee nieuwe sanctiepakketten </w:t>
      </w:r>
      <w:r>
        <w:rPr>
          <w:rFonts w:hint="cs"/>
        </w:rPr>
        <w:t>–</w:t>
      </w:r>
      <w:r>
        <w:t xml:space="preserve"> het 17e op 20 mei en het 18e op 18 juli </w:t>
      </w:r>
      <w:r>
        <w:rPr>
          <w:rFonts w:hint="cs"/>
        </w:rPr>
        <w:t>–</w:t>
      </w:r>
      <w:r>
        <w:t xml:space="preserve"> zijn door de Raad van de EU aangenomen.</w:t>
      </w:r>
    </w:p>
    <w:p w14:paraId="7A65F1E1" w14:textId="77777777" w:rsidR="005D6523" w:rsidRDefault="005D6523" w:rsidP="005D6523"/>
    <w:p w14:paraId="33FD4790" w14:textId="77777777" w:rsidR="005D6523" w:rsidRDefault="005D6523" w:rsidP="005D6523">
      <w:r>
        <w:t>Als reactie op deze onvriendelijke stappen heeft de Russische kant de lijst van vertegenwoordigers van EU-instellingen, EU-lidstaten en een aantal Europese landen die deelnemen aan het anti-Russische beleid van Brussel aanzienlijk uitgebreid. Deze personen wordt de toegang tot het Russische grondgebied ontzegd overeenkomstig federale wet nr. 114-</w:t>
      </w:r>
      <w:r>
        <w:rPr>
          <w:rFonts w:hint="cs"/>
        </w:rPr>
        <w:t>ФЗ</w:t>
      </w:r>
      <w:r>
        <w:t xml:space="preserve"> </w:t>
      </w:r>
      <w:r>
        <w:rPr>
          <w:rFonts w:hint="cs"/>
        </w:rPr>
        <w:t>“</w:t>
      </w:r>
      <w:r>
        <w:t>betreffende de procedure voor het verlaten en binnenkomen van de Russische Federatie</w:t>
      </w:r>
      <w:r>
        <w:rPr>
          <w:rFonts w:hint="cs"/>
        </w:rPr>
        <w:t>”</w:t>
      </w:r>
      <w:r>
        <w:t xml:space="preserve"> van 15 augustus 1996.</w:t>
      </w:r>
    </w:p>
    <w:p w14:paraId="16AF3ED9" w14:textId="77777777" w:rsidR="005D6523" w:rsidRDefault="005D6523" w:rsidP="005D6523"/>
    <w:p w14:paraId="5C0AD502" w14:textId="77777777" w:rsidR="005D6523" w:rsidRDefault="005D6523" w:rsidP="005D6523">
      <w:r>
        <w:t>Het gaat om:</w:t>
      </w:r>
    </w:p>
    <w:p w14:paraId="269AA730" w14:textId="77777777" w:rsidR="005D6523" w:rsidRDefault="005D6523" w:rsidP="005D6523"/>
    <w:p w14:paraId="160CA0C6" w14:textId="77777777" w:rsidR="005D6523" w:rsidRDefault="005D6523" w:rsidP="005D6523">
      <w:r>
        <w:t>1. Medewerkers van veiligheidsdiensten, overheidsinstanties en bedrijven, alsmede burgers van EU-lidstaten en andere westerse landen die:</w:t>
      </w:r>
    </w:p>
    <w:p w14:paraId="7D809894" w14:textId="77777777" w:rsidR="005D6523" w:rsidRDefault="005D6523" w:rsidP="005D6523"/>
    <w:p w14:paraId="496A5F00" w14:textId="77777777" w:rsidR="005D6523" w:rsidRDefault="005D6523" w:rsidP="005D6523">
      <w:r>
        <w:rPr>
          <w:rFonts w:hint="cs"/>
        </w:rPr>
        <w:t>•</w:t>
      </w:r>
      <w:r>
        <w:t xml:space="preserve"> verantwoordelijk zijn voor de militaire steun aan Kiev,</w:t>
      </w:r>
    </w:p>
    <w:p w14:paraId="10CB58F2" w14:textId="77777777" w:rsidR="005D6523" w:rsidRDefault="005D6523" w:rsidP="005D6523">
      <w:r>
        <w:rPr>
          <w:rFonts w:hint="cs"/>
        </w:rPr>
        <w:t>•</w:t>
      </w:r>
      <w:r>
        <w:t xml:space="preserve"> betrokken zijn bij de levering van dual-use-goederen aan Oekra</w:t>
      </w:r>
      <w:r>
        <w:rPr>
          <w:rFonts w:hint="cs"/>
        </w:rPr>
        <w:t>ï</w:t>
      </w:r>
      <w:r>
        <w:t>ne,</w:t>
      </w:r>
    </w:p>
    <w:p w14:paraId="641FFC80" w14:textId="77777777" w:rsidR="005D6523" w:rsidRDefault="005D6523" w:rsidP="005D6523">
      <w:r>
        <w:rPr>
          <w:rFonts w:hint="cs"/>
        </w:rPr>
        <w:t>•</w:t>
      </w:r>
      <w:r>
        <w:t xml:space="preserve"> de territoriale integriteit van Rusland ondermijnen en een blokkade van Russische schepen en vracht in het Oostzeegebied uitvoeren;</w:t>
      </w:r>
    </w:p>
    <w:p w14:paraId="3A26AA5E" w14:textId="77777777" w:rsidR="005D6523" w:rsidRDefault="005D6523" w:rsidP="005D6523"/>
    <w:p w14:paraId="7862B941" w14:textId="77777777" w:rsidR="005D6523" w:rsidRDefault="005D6523" w:rsidP="005D6523">
      <w:r>
        <w:t>2. Vertegenwoordigers van EU-structuren en overheidsinstanties van EU-lidstaten en andere Europese landen die:</w:t>
      </w:r>
    </w:p>
    <w:p w14:paraId="7E69DC09" w14:textId="77777777" w:rsidR="005D6523" w:rsidRDefault="005D6523" w:rsidP="005D6523"/>
    <w:p w14:paraId="3E2B34FD" w14:textId="77777777" w:rsidR="005D6523" w:rsidRDefault="005D6523" w:rsidP="005D6523">
      <w:r>
        <w:rPr>
          <w:rFonts w:hint="cs"/>
        </w:rPr>
        <w:t>•</w:t>
      </w:r>
      <w:r>
        <w:t xml:space="preserve"> betrokken zijn bij de vervolging van Russische ambtenaren wegens </w:t>
      </w:r>
      <w:r>
        <w:rPr>
          <w:rFonts w:hint="cs"/>
        </w:rPr>
        <w:t>“</w:t>
      </w:r>
      <w:r>
        <w:t>illegale arrestaties en deportaties van mensen uit Oekra</w:t>
      </w:r>
      <w:r>
        <w:rPr>
          <w:rFonts w:hint="cs"/>
        </w:rPr>
        <w:t>ï</w:t>
      </w:r>
      <w:r>
        <w:t>ense gebieden</w:t>
      </w:r>
      <w:r>
        <w:rPr>
          <w:rFonts w:hint="cs"/>
        </w:rPr>
        <w:t>”</w:t>
      </w:r>
      <w:r>
        <w:t>,</w:t>
      </w:r>
    </w:p>
    <w:p w14:paraId="1A9CA128" w14:textId="77777777" w:rsidR="005D6523" w:rsidRDefault="005D6523" w:rsidP="005D6523">
      <w:r>
        <w:rPr>
          <w:rFonts w:hint="cs"/>
        </w:rPr>
        <w:t>•</w:t>
      </w:r>
      <w:r>
        <w:t xml:space="preserve"> zich inzetten voor de instelling van een </w:t>
      </w:r>
      <w:r>
        <w:rPr>
          <w:rFonts w:hint="cs"/>
        </w:rPr>
        <w:t>“</w:t>
      </w:r>
      <w:r>
        <w:t>tribunaal</w:t>
      </w:r>
      <w:r>
        <w:rPr>
          <w:rFonts w:hint="cs"/>
        </w:rPr>
        <w:t>”</w:t>
      </w:r>
      <w:r>
        <w:t xml:space="preserve"> tegen het Russische leiderschap,</w:t>
      </w:r>
    </w:p>
    <w:p w14:paraId="05DF4DCE" w14:textId="77777777" w:rsidR="005D6523" w:rsidRDefault="005D6523" w:rsidP="005D6523">
      <w:r>
        <w:rPr>
          <w:rFonts w:hint="cs"/>
        </w:rPr>
        <w:t>•</w:t>
      </w:r>
      <w:r>
        <w:t xml:space="preserve"> voorstander zijn van de onteigening van Russisch staatsvermogen of het gebruik daarvan ten gunste van het regime in Kiev,</w:t>
      </w:r>
    </w:p>
    <w:p w14:paraId="62B89C3E" w14:textId="77777777" w:rsidR="005D6523" w:rsidRDefault="005D6523" w:rsidP="005D6523">
      <w:r>
        <w:rPr>
          <w:rFonts w:hint="cs"/>
        </w:rPr>
        <w:t>•</w:t>
      </w:r>
      <w:r>
        <w:t xml:space="preserve"> verantwoordelijk zijn voor de invoering van sancties tegen ons land of trachten de betrekkingen van Rusland met andere staten te schaden;</w:t>
      </w:r>
    </w:p>
    <w:p w14:paraId="5F4EF081" w14:textId="77777777" w:rsidR="005D6523" w:rsidRDefault="005D6523" w:rsidP="005D6523"/>
    <w:p w14:paraId="726D79F9" w14:textId="77777777" w:rsidR="005D6523" w:rsidRDefault="005D6523" w:rsidP="005D6523">
      <w:r>
        <w:t xml:space="preserve">3. maatschappelijke activisten en vertegenwoordigers van de wetenschap die zich hebben onderscheiden door hun </w:t>
      </w:r>
      <w:r>
        <w:rPr>
          <w:rFonts w:hint="cs"/>
        </w:rPr>
        <w:t>“</w:t>
      </w:r>
      <w:r>
        <w:t>rusofobe</w:t>
      </w:r>
      <w:r>
        <w:rPr>
          <w:rFonts w:hint="cs"/>
        </w:rPr>
        <w:t>”</w:t>
      </w:r>
      <w:r>
        <w:t xml:space="preserve"> retoriek;</w:t>
      </w:r>
    </w:p>
    <w:p w14:paraId="6CED41FC" w14:textId="77777777" w:rsidR="005D6523" w:rsidRDefault="005D6523" w:rsidP="005D6523"/>
    <w:p w14:paraId="65095C8D" w14:textId="77777777" w:rsidR="005D6523" w:rsidRDefault="005D6523" w:rsidP="005D6523">
      <w:r>
        <w:lastRenderedPageBreak/>
        <w:t>4. parlementsleden van EU-lidstaten en van het Europees Parlement die voor anti-Russische resoluties en wetsvoorstellen hebben gestemd.</w:t>
      </w:r>
    </w:p>
    <w:p w14:paraId="33307EBD" w14:textId="77777777" w:rsidR="005D6523" w:rsidRDefault="005D6523" w:rsidP="005D6523"/>
    <w:p w14:paraId="667AF99E" w14:textId="77777777" w:rsidR="005D6523" w:rsidRDefault="005D6523" w:rsidP="005D6523">
      <w:r>
        <w:t>Vijandige anti-Russische acties zijn niet in staat om invloed uit te oefenen op het beleid van ons land. Rusland zal zijn nationale belangen consequent blijven verdedigen en zich blijven inzetten voor een nieuwe, rechtvaardige wereldorde. Ook toekomstige sanctiebesluiten van de Europese Unie zullen een tijdige en passende reactie krijgen.</w:t>
      </w:r>
    </w:p>
    <w:p w14:paraId="16C6FDE4" w14:textId="77777777" w:rsidR="005D6523" w:rsidRDefault="005D6523" w:rsidP="005D6523"/>
    <w:p w14:paraId="6B06BEFC" w14:textId="77777777" w:rsidR="005D6523" w:rsidRDefault="005D6523" w:rsidP="005D6523">
      <w:r>
        <w:t>@RusBotschaft</w:t>
      </w:r>
    </w:p>
    <w:p w14:paraId="7CD9BB5C" w14:textId="77777777" w:rsidR="005D6523" w:rsidRDefault="005D6523" w:rsidP="005D6523"/>
    <w:p w14:paraId="47F5B554" w14:textId="77777777" w:rsidR="005D6523" w:rsidRDefault="005D6523" w:rsidP="005D6523">
      <w:r>
        <w:t>#Sancties #EU #Rusland</w:t>
      </w:r>
    </w:p>
    <w:p w14:paraId="33C821F3"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23"/>
    <w:rsid w:val="005D6523"/>
    <w:rsid w:val="00A13ADC"/>
    <w:rsid w:val="00BE0D22"/>
    <w:rsid w:val="00F97EE1"/>
    <w:rsid w:val="00FF1A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DE7B"/>
  <w15:chartTrackingRefBased/>
  <w15:docId w15:val="{DF3043CA-63B0-4104-A6D6-A5068D97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6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6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65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65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65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65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65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65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65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65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65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65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65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65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65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65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65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6523"/>
    <w:rPr>
      <w:rFonts w:eastAsiaTheme="majorEastAsia" w:cstheme="majorBidi"/>
      <w:color w:val="272727" w:themeColor="text1" w:themeTint="D8"/>
    </w:rPr>
  </w:style>
  <w:style w:type="paragraph" w:styleId="Titel">
    <w:name w:val="Title"/>
    <w:basedOn w:val="Standaard"/>
    <w:next w:val="Standaard"/>
    <w:link w:val="TitelChar"/>
    <w:uiPriority w:val="10"/>
    <w:qFormat/>
    <w:rsid w:val="005D652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65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65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65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65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6523"/>
    <w:rPr>
      <w:i/>
      <w:iCs/>
      <w:color w:val="404040" w:themeColor="text1" w:themeTint="BF"/>
    </w:rPr>
  </w:style>
  <w:style w:type="paragraph" w:styleId="Lijstalinea">
    <w:name w:val="List Paragraph"/>
    <w:basedOn w:val="Standaard"/>
    <w:uiPriority w:val="34"/>
    <w:qFormat/>
    <w:rsid w:val="005D6523"/>
    <w:pPr>
      <w:ind w:left="720"/>
      <w:contextualSpacing/>
    </w:pPr>
  </w:style>
  <w:style w:type="character" w:styleId="Intensievebenadrukking">
    <w:name w:val="Intense Emphasis"/>
    <w:basedOn w:val="Standaardalinea-lettertype"/>
    <w:uiPriority w:val="21"/>
    <w:qFormat/>
    <w:rsid w:val="005D6523"/>
    <w:rPr>
      <w:i/>
      <w:iCs/>
      <w:color w:val="0F4761" w:themeColor="accent1" w:themeShade="BF"/>
    </w:rPr>
  </w:style>
  <w:style w:type="paragraph" w:styleId="Duidelijkcitaat">
    <w:name w:val="Intense Quote"/>
    <w:basedOn w:val="Standaard"/>
    <w:next w:val="Standaard"/>
    <w:link w:val="DuidelijkcitaatChar"/>
    <w:uiPriority w:val="30"/>
    <w:qFormat/>
    <w:rsid w:val="005D6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6523"/>
    <w:rPr>
      <w:i/>
      <w:iCs/>
      <w:color w:val="0F4761" w:themeColor="accent1" w:themeShade="BF"/>
    </w:rPr>
  </w:style>
  <w:style w:type="character" w:styleId="Intensieveverwijzing">
    <w:name w:val="Intense Reference"/>
    <w:basedOn w:val="Standaardalinea-lettertype"/>
    <w:uiPriority w:val="32"/>
    <w:qFormat/>
    <w:rsid w:val="005D65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2178</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2025-07-23T11:27:00Z</dcterms:created>
  <dcterms:modified xsi:type="dcterms:W3CDTF">2025-07-23T11:27:00Z</dcterms:modified>
</cp:coreProperties>
</file>