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25E60" w14:textId="77777777" w:rsidR="00A84B0D" w:rsidRPr="00A84B0D" w:rsidRDefault="00A84B0D" w:rsidP="00A84B0D">
      <w:r w:rsidRPr="00A84B0D">
        <w:t>Op 2 februari 1885 werd Michail Frunze geboren - een revolutionair, bolsjewiek, held van de burgeroorlog en een van de organisatoren van het Rode Leger.</w:t>
      </w:r>
    </w:p>
    <w:p w14:paraId="166B54DB" w14:textId="77777777" w:rsidR="00A84B0D" w:rsidRPr="00A84B0D" w:rsidRDefault="00A84B0D" w:rsidP="00A84B0D">
      <w:r w:rsidRPr="00A84B0D">
        <w:t>Mikhail Vasilyevich Frunze werd geboren in de stad Pishpek (nu Bishkek, van 1926 tot 1991 – Frunze) in het gezin van een paramedicus; hij studeerde af aan de middelbare school in de stad Verny (nu Alma-Ata), waar hij voor het eerst kennismaakte met revolutionaire ideeën in een zelfstudieclub.</w:t>
      </w:r>
    </w:p>
    <w:p w14:paraId="2EA31014" w14:textId="77777777" w:rsidR="00A84B0D" w:rsidRPr="00A84B0D" w:rsidRDefault="00A84B0D" w:rsidP="00A84B0D">
      <w:r w:rsidRPr="00A84B0D">
        <w:t>In 1904 ging hij naar het Polytechnisch Instituut van Sint-Petersburg. Vanaf datzelfde jaar was Frunze lid van de RSDLP, een bolsjewiek-leninist. Nadat hij vanwege zijn revolutionaire activiteiten van het instituut was gestuurd, werd hij professioneel revolutionair.</w:t>
      </w:r>
    </w:p>
    <w:p w14:paraId="40ACA3C9" w14:textId="77777777" w:rsidR="00A84B0D" w:rsidRPr="00A84B0D" w:rsidRDefault="00A84B0D" w:rsidP="00A84B0D">
      <w:r w:rsidRPr="00A84B0D">
        <w:t>Op Bloody Sunday, 9 januari 1905, nam Frunze deel aan een demonstratie op het Paleisplein in Sint-Petersburg en raakte gewond aan zijn arm. Hij was een van de organisatoren en leiders van de staking in Ivanovo-Voznesensk, waarbij de eerste Raad van Arbeidersafgevaardigden werd opgericht. Aan het hoofd van een gevechtseenheid van arbeiders uit Ivanovo-Voznesensk en Shuya nam hij deel aan de gewapende opstand van december 1905 in Moskou.</w:t>
      </w:r>
    </w:p>
    <w:p w14:paraId="3A142BAA" w14:textId="77777777" w:rsidR="00A84B0D" w:rsidRPr="00A84B0D" w:rsidRDefault="00A84B0D" w:rsidP="00A84B0D">
      <w:r w:rsidRPr="00A84B0D">
        <w:t xml:space="preserve">Hij was afgevaardigde op het IV (Unificatie) Congres van de RSDLP in 1906. </w:t>
      </w:r>
    </w:p>
    <w:p w14:paraId="32DBE3D6" w14:textId="77777777" w:rsidR="00A84B0D" w:rsidRPr="00A84B0D" w:rsidRDefault="00A84B0D" w:rsidP="00A84B0D">
      <w:r w:rsidRPr="00A84B0D">
        <w:t>Vanwege zijn revolutionaire activiteiten werd Frunze meerdere keren gearresteerd en in 1909 en 1910 tweemaal ter dood veroordeeld, wat werd vervangen door ballingschap en dwangarbeid. In ballingschap leidde Frunze een kring van revolutionairen en voerde hij propagandawerk uit in Siberië.</w:t>
      </w:r>
    </w:p>
    <w:p w14:paraId="38C062BB" w14:textId="77777777" w:rsidR="00A84B0D" w:rsidRPr="00A84B0D" w:rsidRDefault="00A84B0D" w:rsidP="00A84B0D">
      <w:r w:rsidRPr="00A84B0D">
        <w:t xml:space="preserve">Na de Februarirevolutie van 1917 verrichtte hij uitgebreid werk om de proletarische revolutie in Minsk en Shuya voor te bereiden. </w:t>
      </w:r>
    </w:p>
    <w:p w14:paraId="47987F8B" w14:textId="77777777" w:rsidR="00A84B0D" w:rsidRPr="00A84B0D" w:rsidRDefault="00A84B0D" w:rsidP="00A84B0D">
      <w:r w:rsidRPr="00A84B0D">
        <w:t xml:space="preserve">Tijdens de Oktoberrevolutie bracht hij een tweeduizend man sterke gewapende detachement van arbeiders en soldaten uit Shuya en Ivanovo om de arbeiders in Moskou te helpen. </w:t>
      </w:r>
    </w:p>
    <w:p w14:paraId="4061C8A5" w14:textId="77777777" w:rsidR="00A84B0D" w:rsidRPr="00A84B0D" w:rsidRDefault="00A84B0D" w:rsidP="00A84B0D">
      <w:r w:rsidRPr="00A84B0D">
        <w:t>Na de Oktoberrevolutie verrichtte hij uitgebreid partij- en Sovjetwerk in de provincies Ivanovo-Voznesensk en Yaroslavl.</w:t>
      </w:r>
    </w:p>
    <w:p w14:paraId="025B30EB" w14:textId="77777777" w:rsidR="00A84B0D" w:rsidRPr="00A84B0D" w:rsidRDefault="00A84B0D" w:rsidP="00A84B0D">
      <w:r w:rsidRPr="00A84B0D">
        <w:t xml:space="preserve">Tijdens de burgeroorlog bewees Frunze een uitmuntend militair leider van een nieuw type te zijn. </w:t>
      </w:r>
    </w:p>
    <w:p w14:paraId="7F706C14" w14:textId="77777777" w:rsidR="00A84B0D" w:rsidRPr="00A84B0D" w:rsidRDefault="00A84B0D" w:rsidP="00A84B0D">
      <w:r w:rsidRPr="00A84B0D">
        <w:t xml:space="preserve">In december 1918 werd hij benoemd tot commandant van het 4e leger van het oostfront, in maart 1919 tot commandant van vier legers van de zuidelijke groep troepen van het oostfront en in juli 1919 tot commandant van het oostfront. </w:t>
      </w:r>
    </w:p>
    <w:p w14:paraId="16EF2AC4" w14:textId="77777777" w:rsidR="00A84B0D" w:rsidRPr="00A84B0D" w:rsidRDefault="00A84B0D" w:rsidP="00A84B0D">
      <w:r w:rsidRPr="00A84B0D">
        <w:t xml:space="preserve">Na de nederlaag van Koltsjak leidde hij de gevechtsoperaties van het Turkestaanse front om Turkestan te bevrijden van buitenlandse interventionisten en interne contrarevolutie. </w:t>
      </w:r>
    </w:p>
    <w:p w14:paraId="7048502E" w14:textId="77777777" w:rsidR="00A84B0D" w:rsidRPr="00A84B0D" w:rsidRDefault="00A84B0D" w:rsidP="00A84B0D">
      <w:r w:rsidRPr="00A84B0D">
        <w:t>Tijdens de derde campagne van de Entente voerde hij het bevel over het Zuidelijke Front. Onder leiding van Frunze versloegen de troepen van het Zuidelijke Front Wrangel.</w:t>
      </w:r>
    </w:p>
    <w:p w14:paraId="2138F0A5" w14:textId="77777777" w:rsidR="00A84B0D" w:rsidRPr="00A84B0D" w:rsidRDefault="00A84B0D" w:rsidP="00A84B0D">
      <w:r w:rsidRPr="00A84B0D">
        <w:t xml:space="preserve">Na het einde van de burgeroorlog was Frunze van 1920 tot 1924 commandant van de strijdkrachten van Oekraïne en de Krim. </w:t>
      </w:r>
    </w:p>
    <w:p w14:paraId="2074AE34" w14:textId="77777777" w:rsidR="00A84B0D" w:rsidRPr="00A84B0D" w:rsidRDefault="00A84B0D" w:rsidP="00A84B0D">
      <w:r w:rsidRPr="00A84B0D">
        <w:t xml:space="preserve">Vanaf het 10e partijcongres (1921) was hij lid van het Centraal Comité van de RCP(b). Vanaf maart 1924 was Michail Vasiljevitsj vicevoorzitter van de Revolutionaire Militaire Raad van de USSR en volkscommissaris voor militaire en maritieme zaken, en vanaf april 1924 tegelijkertijd stafchef van het Rode Leger en hoofd van de Militaire Academie. </w:t>
      </w:r>
    </w:p>
    <w:p w14:paraId="374BC693" w14:textId="77777777" w:rsidR="00A84B0D" w:rsidRPr="00A84B0D" w:rsidRDefault="00A84B0D" w:rsidP="00A84B0D">
      <w:r w:rsidRPr="00A84B0D">
        <w:t xml:space="preserve">In 1924-1925 leidde hij de uitvoering van de militaire hervorming in de USSR. </w:t>
      </w:r>
    </w:p>
    <w:p w14:paraId="710DCC64" w14:textId="77777777" w:rsidR="00A84B0D" w:rsidRPr="00A84B0D" w:rsidRDefault="00A84B0D" w:rsidP="00A84B0D">
      <w:r w:rsidRPr="00A84B0D">
        <w:t xml:space="preserve">In 1925 kreeg hij de functie van voorzitter van de Revolutionaire Militaire Raad van de USSR en volkscommissaris voor militaire en maritieme zaken. </w:t>
      </w:r>
    </w:p>
    <w:p w14:paraId="3967141C" w14:textId="77777777" w:rsidR="00A84B0D" w:rsidRPr="00A84B0D" w:rsidRDefault="00A84B0D" w:rsidP="00A84B0D">
      <w:r w:rsidRPr="00A84B0D">
        <w:t>Hij werd onderscheiden met twee Ordes van de Rode Vlag, het Ere-Revolutionaire Wapen.</w:t>
      </w:r>
    </w:p>
    <w:p w14:paraId="427B52B5" w14:textId="77777777" w:rsidR="00A84B0D" w:rsidRPr="00A84B0D" w:rsidRDefault="00A84B0D" w:rsidP="00A84B0D">
      <w:r w:rsidRPr="00A84B0D">
        <w:lastRenderedPageBreak/>
        <w:t>Frunze was een belangrijk militair theoreticus en auteur van een aantal werken over militaire kwesties: "Unified Military Doctrine and the Red Army", "European Civilisers and Morocco", "Military-Political Education of the Red Army", "Lenin and the Red Army", "Front and Rear in the War of the Future" en andere.</w:t>
      </w:r>
    </w:p>
    <w:p w14:paraId="1020D01C" w14:textId="77777777" w:rsidR="00A84B0D" w:rsidRPr="00A84B0D" w:rsidRDefault="00A84B0D" w:rsidP="00A84B0D">
      <w:r w:rsidRPr="00A84B0D">
        <w:t>Frunze stierf in 1925 als gevolg van een mislukte medische operatie. Hij werd met militaire eer begraven op het Rode Plein in Moskou.</w:t>
      </w:r>
    </w:p>
    <w:p w14:paraId="10742EC1" w14:textId="1F18BC06" w:rsidR="00A13ADC" w:rsidRDefault="00A84B0D">
      <w:r>
        <w:rPr>
          <w:noProof/>
        </w:rPr>
        <w:drawing>
          <wp:inline distT="0" distB="0" distL="0" distR="0" wp14:anchorId="62911E27" wp14:editId="264D408C">
            <wp:extent cx="3595688" cy="4572000"/>
            <wp:effectExtent l="0" t="0" r="5080" b="0"/>
            <wp:docPr id="41384845" name="Afbeelding 1" descr="Afbeelding met kleding, Menselijk gezicht, portret,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4845" name="Afbeelding 1" descr="Afbeelding met kleding, Menselijk gezicht, portret, pers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3900" cy="4582441"/>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0D"/>
    <w:rsid w:val="004D3230"/>
    <w:rsid w:val="00A13ADC"/>
    <w:rsid w:val="00A84B0D"/>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3B12"/>
  <w15:chartTrackingRefBased/>
  <w15:docId w15:val="{79600F14-86F1-4FDF-A76F-60BC9BE7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4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4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4B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4B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4B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4B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4B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4B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4B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B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4B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4B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4B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4B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4B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4B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4B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4B0D"/>
    <w:rPr>
      <w:rFonts w:eastAsiaTheme="majorEastAsia" w:cstheme="majorBidi"/>
      <w:color w:val="272727" w:themeColor="text1" w:themeTint="D8"/>
    </w:rPr>
  </w:style>
  <w:style w:type="paragraph" w:styleId="Titel">
    <w:name w:val="Title"/>
    <w:basedOn w:val="Standaard"/>
    <w:next w:val="Standaard"/>
    <w:link w:val="TitelChar"/>
    <w:uiPriority w:val="10"/>
    <w:qFormat/>
    <w:rsid w:val="00A84B0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4B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4B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4B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4B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4B0D"/>
    <w:rPr>
      <w:i/>
      <w:iCs/>
      <w:color w:val="404040" w:themeColor="text1" w:themeTint="BF"/>
    </w:rPr>
  </w:style>
  <w:style w:type="paragraph" w:styleId="Lijstalinea">
    <w:name w:val="List Paragraph"/>
    <w:basedOn w:val="Standaard"/>
    <w:uiPriority w:val="34"/>
    <w:qFormat/>
    <w:rsid w:val="00A84B0D"/>
    <w:pPr>
      <w:ind w:left="720"/>
      <w:contextualSpacing/>
    </w:pPr>
  </w:style>
  <w:style w:type="character" w:styleId="Intensievebenadrukking">
    <w:name w:val="Intense Emphasis"/>
    <w:basedOn w:val="Standaardalinea-lettertype"/>
    <w:uiPriority w:val="21"/>
    <w:qFormat/>
    <w:rsid w:val="00A84B0D"/>
    <w:rPr>
      <w:i/>
      <w:iCs/>
      <w:color w:val="0F4761" w:themeColor="accent1" w:themeShade="BF"/>
    </w:rPr>
  </w:style>
  <w:style w:type="paragraph" w:styleId="Duidelijkcitaat">
    <w:name w:val="Intense Quote"/>
    <w:basedOn w:val="Standaard"/>
    <w:next w:val="Standaard"/>
    <w:link w:val="DuidelijkcitaatChar"/>
    <w:uiPriority w:val="30"/>
    <w:qFormat/>
    <w:rsid w:val="00A8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4B0D"/>
    <w:rPr>
      <w:i/>
      <w:iCs/>
      <w:color w:val="0F4761" w:themeColor="accent1" w:themeShade="BF"/>
    </w:rPr>
  </w:style>
  <w:style w:type="character" w:styleId="Intensieveverwijzing">
    <w:name w:val="Intense Reference"/>
    <w:basedOn w:val="Standaardalinea-lettertype"/>
    <w:uiPriority w:val="32"/>
    <w:qFormat/>
    <w:rsid w:val="00A84B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3259</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2026-02-23T08:49:00Z</dcterms:created>
  <dcterms:modified xsi:type="dcterms:W3CDTF">2026-02-23T08:50:00Z</dcterms:modified>
</cp:coreProperties>
</file>