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72A7" w14:textId="77777777" w:rsidR="007E2312" w:rsidRDefault="007E2312" w:rsidP="007E2312">
      <w:r>
        <w:t>Chekisten en dakloze kinderen.</w:t>
      </w:r>
    </w:p>
    <w:p w14:paraId="7C462603" w14:textId="77777777" w:rsidR="007E2312" w:rsidRDefault="007E2312" w:rsidP="007E2312"/>
    <w:p w14:paraId="2A2D4DE2" w14:textId="77777777" w:rsidR="007E2312" w:rsidRDefault="007E2312" w:rsidP="007E2312">
      <w:r>
        <w:t>9 juli 2025</w:t>
      </w:r>
    </w:p>
    <w:p w14:paraId="27119645" w14:textId="77777777" w:rsidR="007E2312" w:rsidRDefault="007E2312" w:rsidP="007E2312"/>
    <w:p w14:paraId="68BE8D43" w14:textId="77777777" w:rsidR="007E2312" w:rsidRDefault="007E2312" w:rsidP="007E2312">
      <w:r>
        <w:t xml:space="preserve">Uit een artikel getiteld </w:t>
      </w:r>
      <w:r>
        <w:rPr>
          <w:rFonts w:hint="cs"/>
        </w:rPr>
        <w:t>“</w:t>
      </w:r>
      <w:r>
        <w:t xml:space="preserve">F.E. </w:t>
      </w:r>
      <w:proofErr w:type="spellStart"/>
      <w:r>
        <w:t>Dzerzhinsky</w:t>
      </w:r>
      <w:proofErr w:type="spellEnd"/>
      <w:r>
        <w:t xml:space="preserve"> en de Al-Russische Buitengewone Commissie in de strijd tegen straatkinderen in Sovjet-Rusland</w:t>
      </w:r>
      <w:r>
        <w:rPr>
          <w:rFonts w:hint="cs"/>
        </w:rPr>
        <w:t>”</w:t>
      </w:r>
    </w:p>
    <w:p w14:paraId="713E2605" w14:textId="77777777" w:rsidR="007E2312" w:rsidRDefault="007E2312" w:rsidP="007E2312"/>
    <w:p w14:paraId="497CF2A4" w14:textId="7845701F" w:rsidR="00A13ADC" w:rsidRDefault="007E2312" w:rsidP="007E2312">
      <w:r>
        <w:t>Een enorm aantal (volgens verschillende bronnen, begin 1921 tussen de 4,5 en 7 miljoen) dakloze kinderen zonder vaste verblijfplaats werd een ernstig gevolg van de Eerste Wereldoorlog en de Burgeroorlog voor Rusland. Op 27 januari 1921 richtte het Al-Russisch Centraal Uitvoerend Comit</w:t>
      </w:r>
      <w:r>
        <w:rPr>
          <w:rFonts w:hint="cs"/>
        </w:rPr>
        <w:t>é</w:t>
      </w:r>
      <w:r>
        <w:t>, het hoogste wetgevende, bestuurlijke en toezichthoudende orgaan van de Russische Socialistische Federatieve Sovjetrepubliek, de Interdepartementale Commissie voor de Verbetering van het Leven van Kinderen (</w:t>
      </w:r>
      <w:proofErr w:type="spellStart"/>
      <w:r>
        <w:t>Detkomissiya</w:t>
      </w:r>
      <w:proofErr w:type="spellEnd"/>
      <w:r>
        <w:t xml:space="preserve"> </w:t>
      </w:r>
      <w:proofErr w:type="spellStart"/>
      <w:r>
        <w:t>pri</w:t>
      </w:r>
      <w:proofErr w:type="spellEnd"/>
      <w:r>
        <w:t xml:space="preserve"> </w:t>
      </w:r>
      <w:proofErr w:type="spellStart"/>
      <w:r>
        <w:t>VTsIK</w:t>
      </w:r>
      <w:proofErr w:type="spellEnd"/>
      <w:r>
        <w:t xml:space="preserve">) op, onder leiding van Felix </w:t>
      </w:r>
      <w:proofErr w:type="spellStart"/>
      <w:r>
        <w:t>Edmundovich</w:t>
      </w:r>
      <w:proofErr w:type="spellEnd"/>
      <w:r>
        <w:t xml:space="preserve"> </w:t>
      </w:r>
      <w:proofErr w:type="spellStart"/>
      <w:r>
        <w:t>Dzerzhinsky</w:t>
      </w:r>
      <w:proofErr w:type="spellEnd"/>
      <w:r>
        <w:t xml:space="preserve">, voorzitter van de Al-Russische Buitengewone Commissie. Op dezelfde dag ondertekende F.E. </w:t>
      </w:r>
      <w:proofErr w:type="spellStart"/>
      <w:r>
        <w:t>Dzerzhinsky</w:t>
      </w:r>
      <w:proofErr w:type="spellEnd"/>
      <w:r>
        <w:t xml:space="preserve"> decreet nr. 23 </w:t>
      </w:r>
      <w:r>
        <w:rPr>
          <w:rFonts w:hint="cs"/>
        </w:rPr>
        <w:t>“</w:t>
      </w:r>
      <w:r>
        <w:t xml:space="preserve">Over het werk van de organen van de </w:t>
      </w:r>
      <w:proofErr w:type="spellStart"/>
      <w:r>
        <w:t>Tsjeka</w:t>
      </w:r>
      <w:proofErr w:type="spellEnd"/>
      <w:r>
        <w:t xml:space="preserve"> ter verbetering van het leven van straatkinderen</w:t>
      </w:r>
      <w:r>
        <w:rPr>
          <w:rFonts w:hint="cs"/>
        </w:rPr>
        <w:t>”</w:t>
      </w:r>
      <w:r>
        <w:t xml:space="preserve">, die de </w:t>
      </w:r>
      <w:proofErr w:type="spellStart"/>
      <w:r>
        <w:t>Tsjekisten</w:t>
      </w:r>
      <w:proofErr w:type="spellEnd"/>
      <w:r>
        <w:t xml:space="preserve"> de taak oplegde om straatkinderen op te sporen op treinstations en in treinen, hun maaltijden en onderdak te regelen in weeshuizen, opvangtehuizen, kleuterscholen, kinderdagverblijven, sanatoria, enz., en toezicht te houden op de activiteiten van het management van kinderinstellingen om misbruik en schendingen van de rechten van jonge burgers te voorkomen. Het essenti</w:t>
      </w:r>
      <w:r>
        <w:rPr>
          <w:rFonts w:hint="cs"/>
        </w:rPr>
        <w:t>ë</w:t>
      </w:r>
      <w:r>
        <w:t xml:space="preserve">le aspect van dit werk was de zorg voor de toekomst van het land: kinderen redden van honger en armoede, hen naast een dak boven hun hoofd ook de mogelijkheid bieden om hoogwaardige medische zorg en een volwaardige opleiding te krijgen. Veel van de straatkinderen die zo een </w:t>
      </w:r>
      <w:r>
        <w:rPr>
          <w:rFonts w:hint="cs"/>
        </w:rPr>
        <w:t>“</w:t>
      </w:r>
      <w:r>
        <w:t>start in het leven</w:t>
      </w:r>
      <w:r>
        <w:rPr>
          <w:rFonts w:hint="cs"/>
        </w:rPr>
        <w:t>”</w:t>
      </w:r>
      <w:r>
        <w:t xml:space="preserve"> kregen, verbonden hun lot later aan de strijdkrachten, onder meer bij de staatsveiligheidsdiensten: tijdens de Grote Patriottische Oorlog stonden ze tot hun dood aan de grens, achter de vijandelijke linies, in de gevaarlijkste sectoren van het front. Al begin februari 1921 begonnen de </w:t>
      </w:r>
      <w:proofErr w:type="spellStart"/>
      <w:r>
        <w:t>Tsjekisten</w:t>
      </w:r>
      <w:proofErr w:type="spellEnd"/>
      <w:r>
        <w:t xml:space="preserve"> in het hele land actief naar straatkinderen te zoeken. Tijdens de strijd tegen de straatkinderen werd duidelijk dat het bestaande sociale vangnet voor kinderen in de RSFSR moeite had om het hoofd te bieden aan de toestroom van nieuwe wezen die gewassen, gevoed, gekleed en vaak ook behandeld en gehuisvest moesten worden. De </w:t>
      </w:r>
      <w:proofErr w:type="spellStart"/>
      <w:r>
        <w:t>Tsjeka</w:t>
      </w:r>
      <w:proofErr w:type="spellEnd"/>
      <w:r>
        <w:t xml:space="preserve"> bleef niet aan de zijlijn staan en op 29 september 1921 vaardigde zij Besluit nr. 323 uit </w:t>
      </w:r>
      <w:r>
        <w:rPr>
          <w:rFonts w:hint="cs"/>
        </w:rPr>
        <w:t>“</w:t>
      </w:r>
      <w:r>
        <w:t>Over het verlenen van bijstand aan kinderinstellingen</w:t>
      </w:r>
      <w:r>
        <w:rPr>
          <w:rFonts w:hint="cs"/>
        </w:rPr>
        <w:t>”</w:t>
      </w:r>
      <w:r>
        <w:t xml:space="preserve">, waarin werd opgemerkt dat </w:t>
      </w:r>
      <w:r>
        <w:rPr>
          <w:rFonts w:hint="cs"/>
        </w:rPr>
        <w:t>“</w:t>
      </w:r>
      <w:proofErr w:type="spellStart"/>
      <w:r>
        <w:t>kinstitellingen</w:t>
      </w:r>
      <w:proofErr w:type="spellEnd"/>
      <w:r>
        <w:t xml:space="preserve"> zich in een bijzonder moeilijke situatie bevinden wat huisvesting betreft</w:t>
      </w:r>
      <w:r>
        <w:rPr>
          <w:rFonts w:hint="cs"/>
        </w:rPr>
        <w:t>”</w:t>
      </w:r>
      <w:r>
        <w:t>: "Sommige gebouwen die door kinderinstellingen worden gebruikt, zijn niet geschikt voor het beoogde doel. De groei van kindertehuizen en de noodzaak om hun netwerk uit te breiden, maken het echter noodzakelijk om nieuwe gebouwen te zoeken. Voormalige schoolgebouwen worden echter bezet door verschillende departementen.</w:t>
      </w:r>
      <w:r>
        <w:rPr>
          <w:rFonts w:hint="cs"/>
        </w:rPr>
        <w:t>“</w:t>
      </w:r>
      <w:r>
        <w:t xml:space="preserve"> Het besluit droeg de lokale </w:t>
      </w:r>
      <w:proofErr w:type="spellStart"/>
      <w:r>
        <w:t>Cheka</w:t>
      </w:r>
      <w:proofErr w:type="spellEnd"/>
      <w:r>
        <w:t xml:space="preserve">-instanties op </w:t>
      </w:r>
      <w:r>
        <w:rPr>
          <w:rFonts w:hint="cs"/>
        </w:rPr>
        <w:t>”</w:t>
      </w:r>
      <w:r>
        <w:t>alle mogelijke hulp te verlenen aan lokale ambtenaren die verantwoordelijk zijn voor de verbetering van het leven van kinderen</w:t>
      </w:r>
      <w:r>
        <w:rPr>
          <w:rFonts w:hint="cs"/>
        </w:rPr>
        <w:t>“</w:t>
      </w:r>
      <w:r>
        <w:t xml:space="preserve">; </w:t>
      </w:r>
      <w:r>
        <w:rPr>
          <w:rFonts w:hint="cs"/>
        </w:rPr>
        <w:t>”</w:t>
      </w:r>
      <w:r>
        <w:t xml:space="preserve">personen die niets met kinderinstellingen te maken hebben, dringend uit deze instellingen te verwijderen"; </w:t>
      </w:r>
      <w:r>
        <w:rPr>
          <w:rFonts w:hint="cs"/>
        </w:rPr>
        <w:t>“</w:t>
      </w:r>
      <w:r>
        <w:t>maatregelen te nemen om overbevolking in kinderinstellingen te voorkomen</w:t>
      </w:r>
      <w:r>
        <w:rPr>
          <w:rFonts w:hint="cs"/>
        </w:rPr>
        <w:t>”</w:t>
      </w:r>
      <w:r>
        <w:t xml:space="preserve">; en </w:t>
      </w:r>
      <w:r>
        <w:rPr>
          <w:rFonts w:hint="cs"/>
        </w:rPr>
        <w:t>“</w:t>
      </w:r>
      <w:r>
        <w:t>in geen geval de teruggave of verhuur van voormalige priv</w:t>
      </w:r>
      <w:r>
        <w:rPr>
          <w:rFonts w:hint="cs"/>
        </w:rPr>
        <w:t>é</w:t>
      </w:r>
      <w:r>
        <w:t>-eigendommen die momenteel door kinderinstellingen worden gebruikt, toe te staan</w:t>
      </w:r>
      <w:r>
        <w:rPr>
          <w:rFonts w:hint="cs"/>
        </w:rPr>
        <w:t>”</w:t>
      </w:r>
      <w:r>
        <w:t xml:space="preserve">. Op bevel van F.E. </w:t>
      </w:r>
      <w:proofErr w:type="spellStart"/>
      <w:r>
        <w:t>Dzerzhinsky</w:t>
      </w:r>
      <w:proofErr w:type="spellEnd"/>
      <w:r>
        <w:t xml:space="preserve"> werden herenhuizen en landhuizen die zonder eigenaar waren achtergelaten, gebruikt om kinderen onder te brengen. Zo werd een gerenoveerd huis dat bestemd was voor de Speciale Afdeling van de </w:t>
      </w:r>
      <w:proofErr w:type="spellStart"/>
      <w:r>
        <w:t>Tambov</w:t>
      </w:r>
      <w:proofErr w:type="spellEnd"/>
      <w:r>
        <w:t xml:space="preserve"> </w:t>
      </w:r>
      <w:proofErr w:type="spellStart"/>
      <w:r>
        <w:t>Tsjeka</w:t>
      </w:r>
      <w:proofErr w:type="spellEnd"/>
      <w:r>
        <w:t xml:space="preserve"> omgebouwd tot een kinderziekenhuis. Dankzij het besluit van de Commissie zijn er in het hele land nieuwe kinderinstellingen gekomen. Zo werd in de stad </w:t>
      </w:r>
      <w:proofErr w:type="spellStart"/>
      <w:r>
        <w:t>Vyatka</w:t>
      </w:r>
      <w:proofErr w:type="spellEnd"/>
      <w:r>
        <w:t xml:space="preserve"> (nu </w:t>
      </w:r>
      <w:proofErr w:type="spellStart"/>
      <w:r>
        <w:t>Kirov</w:t>
      </w:r>
      <w:proofErr w:type="spellEnd"/>
      <w:r>
        <w:t xml:space="preserve">) een kindertehuis geopend dat naar F. E. </w:t>
      </w:r>
      <w:proofErr w:type="spellStart"/>
      <w:r>
        <w:t>Dzerzhinskiy</w:t>
      </w:r>
      <w:proofErr w:type="spellEnd"/>
      <w:r>
        <w:t xml:space="preserve"> werd vernoemd. Alexander </w:t>
      </w:r>
      <w:proofErr w:type="spellStart"/>
      <w:r>
        <w:t>Iuzefovich</w:t>
      </w:r>
      <w:proofErr w:type="spellEnd"/>
      <w:r>
        <w:t xml:space="preserve"> </w:t>
      </w:r>
      <w:proofErr w:type="spellStart"/>
      <w:r>
        <w:t>Remishevskii</w:t>
      </w:r>
      <w:proofErr w:type="spellEnd"/>
      <w:r>
        <w:t xml:space="preserve">, hoofd van de afdeling van de </w:t>
      </w:r>
      <w:proofErr w:type="spellStart"/>
      <w:r>
        <w:t>Tsjeka</w:t>
      </w:r>
      <w:proofErr w:type="spellEnd"/>
      <w:r>
        <w:t xml:space="preserve"> </w:t>
      </w:r>
      <w:r>
        <w:rPr>
          <w:rFonts w:hint="cs"/>
        </w:rPr>
        <w:t>—</w:t>
      </w:r>
      <w:r>
        <w:t xml:space="preserve"> OGPU in </w:t>
      </w:r>
      <w:proofErr w:type="spellStart"/>
      <w:r>
        <w:t>Vyatka</w:t>
      </w:r>
      <w:proofErr w:type="spellEnd"/>
      <w:r>
        <w:t xml:space="preserve">, en zijn vrouw Anna </w:t>
      </w:r>
      <w:proofErr w:type="spellStart"/>
      <w:r>
        <w:t>Bekhtereva</w:t>
      </w:r>
      <w:proofErr w:type="spellEnd"/>
      <w:r>
        <w:t xml:space="preserve">, die sinds 1921 in </w:t>
      </w:r>
      <w:proofErr w:type="spellStart"/>
      <w:r>
        <w:t>Vyatka</w:t>
      </w:r>
      <w:proofErr w:type="spellEnd"/>
      <w:r>
        <w:t xml:space="preserve"> werkte, speelden een grote rol in het lot van de straatkinderen van gisteren. Er werd een speciale commissie van </w:t>
      </w:r>
      <w:r>
        <w:lastRenderedPageBreak/>
        <w:t xml:space="preserve">OGPU-medewerkers opgericht, onder leiding van Anna </w:t>
      </w:r>
      <w:proofErr w:type="spellStart"/>
      <w:r>
        <w:t>Nikolaevna</w:t>
      </w:r>
      <w:proofErr w:type="spellEnd"/>
      <w:r>
        <w:t xml:space="preserve"> </w:t>
      </w:r>
      <w:proofErr w:type="spellStart"/>
      <w:r>
        <w:t>Bekhtereva</w:t>
      </w:r>
      <w:proofErr w:type="spellEnd"/>
      <w:r>
        <w:t xml:space="preserve">, die toezicht hield op de organisatie van voedsel voor kinderen in weeshuizen. Tijdens hun bezoeken aan de kinderen voerden de Chekisten ook opvoedingswerk onder hen uit. In het weeshuis werd veel aandacht besteed aan het aanleren van verschillende ambachten en artistieke activiteiten aan de kinderen, en al snel werd een pioniersgroep opgericht. Uit de notulen van de vergadering van de RCP-cel van de regionale afdeling van de GPU in </w:t>
      </w:r>
      <w:proofErr w:type="spellStart"/>
      <w:r>
        <w:t>Vyatka</w:t>
      </w:r>
      <w:proofErr w:type="spellEnd"/>
      <w:r>
        <w:t xml:space="preserve"> van 1 september 1922: " Het weeshuis wordt onder de hoede en het onderhoud van de medewerkers van de </w:t>
      </w:r>
      <w:proofErr w:type="spellStart"/>
      <w:r>
        <w:t>Gubotdel</w:t>
      </w:r>
      <w:proofErr w:type="spellEnd"/>
      <w:r>
        <w:t xml:space="preserve"> van de GPU gelaten, waarbij 2% wordt ingehouden op het salaris van de medewerkers van de </w:t>
      </w:r>
      <w:proofErr w:type="spellStart"/>
      <w:r>
        <w:t>Gubotdel</w:t>
      </w:r>
      <w:proofErr w:type="spellEnd"/>
      <w:r>
        <w:t xml:space="preserve"> van de GPU, evenals op alle andere geldelijke toelagen /dagvergoedingen, bonussen,/, en waarbij een tweemaal daagse voedselrantsoen wordt verstrekt." De </w:t>
      </w:r>
      <w:proofErr w:type="spellStart"/>
      <w:r>
        <w:t>Tsjekisten</w:t>
      </w:r>
      <w:proofErr w:type="spellEnd"/>
      <w:r>
        <w:t xml:space="preserve"> bleven betrokken bij het leven van de kinderen, zelfs nadat de weeshuizen waren overgedragen aan de provinciale departementen van openbaar onderwijs. Dit blijkt uit protocol nr. 2 van de </w:t>
      </w:r>
      <w:r>
        <w:rPr>
          <w:rFonts w:hint="cs"/>
        </w:rPr>
        <w:t>“</w:t>
      </w:r>
      <w:r>
        <w:t xml:space="preserve">Patronagecommissie van het </w:t>
      </w:r>
      <w:proofErr w:type="spellStart"/>
      <w:r>
        <w:t>Dzerzhinsky</w:t>
      </w:r>
      <w:proofErr w:type="spellEnd"/>
      <w:r>
        <w:t xml:space="preserve"> Weeshuis</w:t>
      </w:r>
      <w:r>
        <w:rPr>
          <w:rFonts w:hint="cs"/>
        </w:rPr>
        <w:t>”</w:t>
      </w:r>
      <w:r>
        <w:t xml:space="preserve"> van 1 oktober 1921. Naast het aanpakken van de sociale welzijnskwesties van straatkinderen, was het noodzakelijk hen te redden uit de criminele onderwereld, die misbruik maakte van hun kwetsbaarheid, onervarenheid en armoede om hen bij criminele activiteiten te betrekken. Het idee was om een groot aantal jeugddelinquenten te heropvoeden en terug te brengen naar de samenleving. De </w:t>
      </w:r>
      <w:proofErr w:type="spellStart"/>
      <w:r>
        <w:t>Tsjekisten</w:t>
      </w:r>
      <w:proofErr w:type="spellEnd"/>
      <w:r>
        <w:t xml:space="preserve"> stelden een radicaal nieuwe aanpak voor om met deze kinderen te werken, waarbij ze werden ingezet voor maatschappelijk nuttig werk en de kans kregen om een relevant beroep te leren en hun plaats in het leven te vinden. De beroemde pedagoog en activist A. </w:t>
      </w:r>
      <w:proofErr w:type="spellStart"/>
      <w:r>
        <w:t>Makarenko</w:t>
      </w:r>
      <w:proofErr w:type="spellEnd"/>
      <w:r>
        <w:t xml:space="preserve"> en een van de leerlingen van de </w:t>
      </w:r>
      <w:proofErr w:type="spellStart"/>
      <w:r>
        <w:t>Dostojevski</w:t>
      </w:r>
      <w:proofErr w:type="spellEnd"/>
      <w:r>
        <w:t xml:space="preserve">-school, L. </w:t>
      </w:r>
      <w:proofErr w:type="spellStart"/>
      <w:r>
        <w:t>Panteleev</w:t>
      </w:r>
      <w:proofErr w:type="spellEnd"/>
      <w:r>
        <w:t xml:space="preserve">, deelden hun ervaringen in hun populaire boeken over hoe jeugddelinquenten konden worden omgevormd tot echte burgers van hun land. Een van de </w:t>
      </w:r>
      <w:proofErr w:type="spellStart"/>
      <w:r>
        <w:t>arbeidskommunes</w:t>
      </w:r>
      <w:proofErr w:type="spellEnd"/>
      <w:r>
        <w:t xml:space="preserve"> voor straatkinderen werd op 18 augustus 1924 op bevel van de OGPU opgericht in </w:t>
      </w:r>
      <w:proofErr w:type="spellStart"/>
      <w:r>
        <w:t>Bolshevo</w:t>
      </w:r>
      <w:proofErr w:type="spellEnd"/>
      <w:r>
        <w:t xml:space="preserve">, in de buurt van Moskou. </w:t>
      </w:r>
      <w:proofErr w:type="spellStart"/>
      <w:r>
        <w:t>Fjodor</w:t>
      </w:r>
      <w:proofErr w:type="spellEnd"/>
      <w:r>
        <w:t xml:space="preserve"> </w:t>
      </w:r>
      <w:proofErr w:type="spellStart"/>
      <w:r>
        <w:t>Melikhov</w:t>
      </w:r>
      <w:proofErr w:type="spellEnd"/>
      <w:r>
        <w:t xml:space="preserve">, een ervaren leraar, werd benoemd tot hoofd van de commune. Het prototype van de </w:t>
      </w:r>
      <w:proofErr w:type="spellStart"/>
      <w:r>
        <w:t>Bolsjevskaja</w:t>
      </w:r>
      <w:proofErr w:type="spellEnd"/>
      <w:r>
        <w:t xml:space="preserve">-commune was de Eerste </w:t>
      </w:r>
      <w:proofErr w:type="spellStart"/>
      <w:r>
        <w:t>Arbeidskommune</w:t>
      </w:r>
      <w:proofErr w:type="spellEnd"/>
      <w:r>
        <w:t xml:space="preserve"> voor Kinderen, genoemd naar Rosa Luxemburg. </w:t>
      </w:r>
      <w:proofErr w:type="spellStart"/>
      <w:r>
        <w:t>Fjodor</w:t>
      </w:r>
      <w:proofErr w:type="spellEnd"/>
      <w:r>
        <w:t xml:space="preserve"> </w:t>
      </w:r>
      <w:proofErr w:type="spellStart"/>
      <w:r>
        <w:t>Melikhov</w:t>
      </w:r>
      <w:proofErr w:type="spellEnd"/>
      <w:r>
        <w:t xml:space="preserve"> werd overgeplaatst van deze instelling naar </w:t>
      </w:r>
      <w:proofErr w:type="spellStart"/>
      <w:r>
        <w:t>Bolshevo</w:t>
      </w:r>
      <w:proofErr w:type="spellEnd"/>
      <w:r>
        <w:t xml:space="preserve">, de eerste leerlingen werden gebracht en ook de principes voor het onderwijs aan jeugddelinquenten werden overgenomen. Hier kregen kinderen het recht om te kiezen en werd rekening gehouden met hun mening. Bij de eerste pogingen om terug te keren naar de oude levenswijze werd de aandacht van de kinderen afgeleid naar interessantere en zinvollere dingen. Ze raakten betrokken bij het verbeteren van hun huisvesting en begonnen interesse te tonen in boeken. Uit het verslag van een lid van de Commissie van het Volksonderwijs van de Sovjet van Arbeiders- en Boerenafgevaardigden van </w:t>
      </w:r>
      <w:proofErr w:type="spellStart"/>
      <w:r>
        <w:t>Zamoskvoretsky</w:t>
      </w:r>
      <w:proofErr w:type="spellEnd"/>
      <w:r>
        <w:t xml:space="preserve"> over het werk van de eerste arbeiderskindercommune, genoemd naar Rosa Luxemburg, blijkt hoe de heropvoeding van kinderen hier werd georganiseerd. In </w:t>
      </w:r>
      <w:proofErr w:type="spellStart"/>
      <w:r>
        <w:t>Bolshevo</w:t>
      </w:r>
      <w:proofErr w:type="spellEnd"/>
      <w:r>
        <w:t xml:space="preserve"> konden jeugddelinquenten een beroep leren. De jongens maakten schoenen, werkten als slotenmakers, maakten schaatsen en werkten in de brei-industrie. De commune begon haar werk bijna vanaf nul en nam elke dag nieuw personeel aan, ontwikkelde haar productie- en onderwijsactiviteiten en groeide uit tot een fabrieksstad voor sportartikelen</w:t>
      </w:r>
      <w:r>
        <w:rPr>
          <w:rFonts w:hint="cs"/>
        </w:rPr>
        <w:t>“</w:t>
      </w:r>
      <w:r>
        <w:t xml:space="preserve">, aldus een besluit van de OGPU van 22 juni 1931, getiteld </w:t>
      </w:r>
      <w:r>
        <w:rPr>
          <w:rFonts w:hint="cs"/>
        </w:rPr>
        <w:t>”</w:t>
      </w:r>
      <w:r>
        <w:t>Over de vervroegde voltooiing van het industri</w:t>
      </w:r>
      <w:r>
        <w:rPr>
          <w:rFonts w:hint="cs"/>
        </w:rPr>
        <w:t>ë</w:t>
      </w:r>
      <w:r>
        <w:t>le en financi</w:t>
      </w:r>
      <w:r>
        <w:rPr>
          <w:rFonts w:hint="cs"/>
        </w:rPr>
        <w:t>ë</w:t>
      </w:r>
      <w:r>
        <w:t xml:space="preserve">le plan voor de </w:t>
      </w:r>
      <w:proofErr w:type="spellStart"/>
      <w:r>
        <w:t>Trudkommuna</w:t>
      </w:r>
      <w:proofErr w:type="spellEnd"/>
      <w:r>
        <w:t xml:space="preserve"> nr. 1". Geleidelijk aan ontstonden dergelijke communes in alle uithoeken van het land. Zo organiseerde de OGPU in de buurt van Charkov een </w:t>
      </w:r>
      <w:proofErr w:type="spellStart"/>
      <w:r>
        <w:t>kinderarbeidcommune</w:t>
      </w:r>
      <w:proofErr w:type="spellEnd"/>
      <w:r>
        <w:t xml:space="preserve"> die naar F.E. </w:t>
      </w:r>
      <w:proofErr w:type="spellStart"/>
      <w:r>
        <w:t>Dzerzhinsky</w:t>
      </w:r>
      <w:proofErr w:type="spellEnd"/>
      <w:r>
        <w:t xml:space="preserve"> werd vernoemd. De commune stond onder leiding van de bekende pedagoog Anton </w:t>
      </w:r>
      <w:proofErr w:type="spellStart"/>
      <w:r>
        <w:t>Makarenko</w:t>
      </w:r>
      <w:proofErr w:type="spellEnd"/>
      <w:r>
        <w:t xml:space="preserve">. In 1932 werd op het grondgebied van de commune een fabriek voor elektrisch gereedschap opgericht, waar de elektrische boormachine FD-1 werd geproduceerd. Ook de beroemde FED-camera (Felix </w:t>
      </w:r>
      <w:proofErr w:type="spellStart"/>
      <w:r>
        <w:t>Edmundovich</w:t>
      </w:r>
      <w:proofErr w:type="spellEnd"/>
      <w:r>
        <w:t xml:space="preserve"> </w:t>
      </w:r>
      <w:proofErr w:type="spellStart"/>
      <w:r>
        <w:t>Dzerzhinsky</w:t>
      </w:r>
      <w:proofErr w:type="spellEnd"/>
      <w:r>
        <w:t xml:space="preserve">) werd daar gelanceerd. Na 1935 werd Anton </w:t>
      </w:r>
      <w:proofErr w:type="spellStart"/>
      <w:r>
        <w:t>Makarenko</w:t>
      </w:r>
      <w:proofErr w:type="spellEnd"/>
      <w:r>
        <w:t xml:space="preserve"> overgeplaatst naar het hoofddirectoraat van de NKVD van Oekra</w:t>
      </w:r>
      <w:r>
        <w:rPr>
          <w:rFonts w:hint="cs"/>
        </w:rPr>
        <w:t>ï</w:t>
      </w:r>
      <w:r>
        <w:t xml:space="preserve">ne, waar hij toezicht hield op het werk van twaalf arbeidskolonies voor minderjarigen. De leerlingen van weeshuizen en communes behandelden hun mentoren en leraren met respect en bewondering. Deze laatste slaagden erin het schijnbaar onmogelijke te doen: de harten van gedesillusioneerde en vaak boze kinderen smelten en hen geloof en hoop bijbrengen. Naast voedsel en onderdak kregen deze mensen onderwijs, kansen om te werken en de mogelijkheid om volwaardige leden van de samenleving te worden. In </w:t>
      </w:r>
      <w:proofErr w:type="spellStart"/>
      <w:r>
        <w:t>Kirov</w:t>
      </w:r>
      <w:proofErr w:type="spellEnd"/>
      <w:r>
        <w:t xml:space="preserve"> was ten minste </w:t>
      </w:r>
      <w:r>
        <w:rPr>
          <w:rFonts w:hint="cs"/>
        </w:rPr>
        <w:t>éé</w:t>
      </w:r>
      <w:r>
        <w:t xml:space="preserve">n van mijn NKVD-mensen, </w:t>
      </w:r>
      <w:proofErr w:type="spellStart"/>
      <w:r>
        <w:t>Loginov</w:t>
      </w:r>
      <w:proofErr w:type="spellEnd"/>
      <w:r>
        <w:t xml:space="preserve">, die korte tijd hoofd van de NKVD van het district </w:t>
      </w:r>
      <w:proofErr w:type="spellStart"/>
      <w:r>
        <w:t>Kirov</w:t>
      </w:r>
      <w:proofErr w:type="spellEnd"/>
      <w:r>
        <w:t xml:space="preserve"> was geweest en voor de UGB </w:t>
      </w:r>
      <w:r>
        <w:lastRenderedPageBreak/>
        <w:t xml:space="preserve">had gewerkt, een voormalig straatkind uit Kazan dat was gevlucht voor zijn alcoholistische vader en uiteindelijk door de tsaristische autoriteiten was opgepakt en naar Wit-Rusland was gestuurd om voor koelakken te werken, waar hij aan de uitbuiting ontsnapte. Veel anderen kwamen uit moeilijke gezinnen, dus ik ben er zeker van dat het voor veel mannen persoonlijk was om dakloze of probleemkinderen te helpen. Foto's Aleksandr </w:t>
      </w:r>
      <w:proofErr w:type="spellStart"/>
      <w:r>
        <w:t>Remishevskii</w:t>
      </w:r>
      <w:proofErr w:type="spellEnd"/>
      <w:r>
        <w:t xml:space="preserve"> en Anna </w:t>
      </w:r>
      <w:proofErr w:type="spellStart"/>
      <w:r>
        <w:t>Bekhtereva</w:t>
      </w:r>
      <w:proofErr w:type="spellEnd"/>
      <w:r>
        <w:t xml:space="preserve"> en het gebouw waar het </w:t>
      </w:r>
      <w:proofErr w:type="spellStart"/>
      <w:r>
        <w:t>Dzezhinskii</w:t>
      </w:r>
      <w:proofErr w:type="spellEnd"/>
      <w:r>
        <w:t xml:space="preserve">-weeshuis in </w:t>
      </w:r>
      <w:proofErr w:type="spellStart"/>
      <w:r>
        <w:t>Kirov</w:t>
      </w:r>
      <w:proofErr w:type="spellEnd"/>
      <w:r>
        <w:t xml:space="preserve"> was gevestigd.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12"/>
    <w:rsid w:val="007E2312"/>
    <w:rsid w:val="00A13ADC"/>
    <w:rsid w:val="00BC6E92"/>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2AAE"/>
  <w15:chartTrackingRefBased/>
  <w15:docId w15:val="{31866A6F-A462-4F17-9F40-8505876F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2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2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23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23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23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23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23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23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23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23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23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23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23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23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23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23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23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2312"/>
    <w:rPr>
      <w:rFonts w:eastAsiaTheme="majorEastAsia" w:cstheme="majorBidi"/>
      <w:color w:val="272727" w:themeColor="text1" w:themeTint="D8"/>
    </w:rPr>
  </w:style>
  <w:style w:type="paragraph" w:styleId="Titel">
    <w:name w:val="Title"/>
    <w:basedOn w:val="Standaard"/>
    <w:next w:val="Standaard"/>
    <w:link w:val="TitelChar"/>
    <w:uiPriority w:val="10"/>
    <w:qFormat/>
    <w:rsid w:val="007E231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23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23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23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23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2312"/>
    <w:rPr>
      <w:i/>
      <w:iCs/>
      <w:color w:val="404040" w:themeColor="text1" w:themeTint="BF"/>
    </w:rPr>
  </w:style>
  <w:style w:type="paragraph" w:styleId="Lijstalinea">
    <w:name w:val="List Paragraph"/>
    <w:basedOn w:val="Standaard"/>
    <w:uiPriority w:val="34"/>
    <w:qFormat/>
    <w:rsid w:val="007E2312"/>
    <w:pPr>
      <w:ind w:left="720"/>
      <w:contextualSpacing/>
    </w:pPr>
  </w:style>
  <w:style w:type="character" w:styleId="Intensievebenadrukking">
    <w:name w:val="Intense Emphasis"/>
    <w:basedOn w:val="Standaardalinea-lettertype"/>
    <w:uiPriority w:val="21"/>
    <w:qFormat/>
    <w:rsid w:val="007E2312"/>
    <w:rPr>
      <w:i/>
      <w:iCs/>
      <w:color w:val="0F4761" w:themeColor="accent1" w:themeShade="BF"/>
    </w:rPr>
  </w:style>
  <w:style w:type="paragraph" w:styleId="Duidelijkcitaat">
    <w:name w:val="Intense Quote"/>
    <w:basedOn w:val="Standaard"/>
    <w:next w:val="Standaard"/>
    <w:link w:val="DuidelijkcitaatChar"/>
    <w:uiPriority w:val="30"/>
    <w:qFormat/>
    <w:rsid w:val="007E2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2312"/>
    <w:rPr>
      <w:i/>
      <w:iCs/>
      <w:color w:val="0F4761" w:themeColor="accent1" w:themeShade="BF"/>
    </w:rPr>
  </w:style>
  <w:style w:type="character" w:styleId="Intensieveverwijzing">
    <w:name w:val="Intense Reference"/>
    <w:basedOn w:val="Standaardalinea-lettertype"/>
    <w:uiPriority w:val="32"/>
    <w:qFormat/>
    <w:rsid w:val="007E23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1460</Words>
  <Characters>8033</Characters>
  <Application>Microsoft Office Word</Application>
  <DocSecurity>0</DocSecurity>
  <Lines>66</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2025-07-23T18:39:00Z</dcterms:created>
  <dcterms:modified xsi:type="dcterms:W3CDTF">2025-07-23T18:40:00Z</dcterms:modified>
</cp:coreProperties>
</file>